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725932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11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202565</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10-K</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ANNUAL REPORT PURSUANT TO SECTION 13 OR 15(d)</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OF THE SECURITIES EXCHANGE ACT OF 1934</w:t>
      </w:r>
    </w:p>
    <w:p>
      <w:pPr>
        <w:jc w:val="center"/>
        <w:ind w:right="-79"/>
        <w:spacing w:after="0"/>
        <w:rPr>
          <w:sz w:val="20"/>
          <w:szCs w:val="20"/>
          <w:color w:val="auto"/>
        </w:rPr>
      </w:pPr>
      <w:r>
        <w:rPr>
          <w:rFonts w:ascii="Arial" w:cs="Arial" w:eastAsia="Arial" w:hAnsi="Arial"/>
          <w:sz w:val="16"/>
          <w:szCs w:val="16"/>
          <w:b w:val="1"/>
          <w:bCs w:val="1"/>
          <w:color w:val="auto"/>
        </w:rPr>
        <w:t>For the fiscal year ended December 31, 2008</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0-20797</w:t>
      </w:r>
    </w:p>
    <w:p>
      <w:pPr>
        <w:spacing w:after="0" w:line="18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RUSH ENTERPRISES, INC</w:t>
      </w:r>
      <w:r>
        <w:rPr>
          <w:rFonts w:ascii="Arial" w:cs="Arial" w:eastAsia="Arial" w:hAnsi="Arial"/>
          <w:sz w:val="29"/>
          <w:szCs w:val="29"/>
          <w:color w:val="auto"/>
        </w:rPr>
        <w:t>.</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pacing w:after="0" w:line="191" w:lineRule="exact"/>
        <w:rPr>
          <w:sz w:val="24"/>
          <w:szCs w:val="24"/>
          <w:color w:val="auto"/>
        </w:rPr>
      </w:pPr>
    </w:p>
    <w:tbl>
      <w:tblPr>
        <w:tblLayout w:type="fixed"/>
        <w:tblInd w:w="840" w:type="dxa"/>
        <w:tblCellMar>
          <w:top w:w="0" w:type="dxa"/>
          <w:left w:w="0" w:type="dxa"/>
          <w:bottom w:w="0" w:type="dxa"/>
          <w:right w:w="0" w:type="dxa"/>
        </w:tblCellMar>
      </w:tblPr>
      <w:tr>
        <w:trPr>
          <w:trHeight w:val="200"/>
        </w:trPr>
        <w:tc>
          <w:tcPr>
            <w:tcW w:w="5240" w:type="dxa"/>
            <w:vAlign w:val="bottom"/>
          </w:tcPr>
          <w:p>
            <w:pPr>
              <w:jc w:val="center"/>
              <w:ind w:right="1238"/>
              <w:spacing w:after="0"/>
              <w:rPr>
                <w:sz w:val="20"/>
                <w:szCs w:val="20"/>
                <w:color w:val="auto"/>
              </w:rPr>
            </w:pPr>
            <w:r>
              <w:rPr>
                <w:rFonts w:ascii="Arial" w:cs="Arial" w:eastAsia="Arial" w:hAnsi="Arial"/>
                <w:sz w:val="16"/>
                <w:szCs w:val="16"/>
                <w:b w:val="1"/>
                <w:bCs w:val="1"/>
                <w:color w:val="auto"/>
                <w:w w:val="88"/>
              </w:rPr>
              <w:t>Texas</w:t>
            </w:r>
          </w:p>
        </w:tc>
        <w:tc>
          <w:tcPr>
            <w:tcW w:w="3760" w:type="dxa"/>
            <w:vAlign w:val="bottom"/>
          </w:tcPr>
          <w:p>
            <w:pPr>
              <w:jc w:val="right"/>
              <w:ind w:right="738"/>
              <w:spacing w:after="0"/>
              <w:rPr>
                <w:sz w:val="20"/>
                <w:szCs w:val="20"/>
                <w:color w:val="auto"/>
              </w:rPr>
            </w:pPr>
            <w:r>
              <w:rPr>
                <w:rFonts w:ascii="Arial" w:cs="Arial" w:eastAsia="Arial" w:hAnsi="Arial"/>
                <w:sz w:val="16"/>
                <w:szCs w:val="16"/>
                <w:b w:val="1"/>
                <w:bCs w:val="1"/>
                <w:color w:val="auto"/>
              </w:rPr>
              <w:t>74-1733016</w:t>
            </w:r>
          </w:p>
        </w:tc>
      </w:tr>
      <w:tr>
        <w:trPr>
          <w:trHeight w:val="208"/>
        </w:trPr>
        <w:tc>
          <w:tcPr>
            <w:tcW w:w="5240" w:type="dxa"/>
            <w:vAlign w:val="bottom"/>
          </w:tcPr>
          <w:p>
            <w:pPr>
              <w:jc w:val="center"/>
              <w:ind w:right="123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760" w:type="dxa"/>
            <w:vAlign w:val="bottom"/>
          </w:tcPr>
          <w:p>
            <w:pPr>
              <w:jc w:val="center"/>
              <w:ind w:left="1258"/>
              <w:spacing w:after="0"/>
              <w:rPr>
                <w:sz w:val="20"/>
                <w:szCs w:val="20"/>
                <w:color w:val="auto"/>
              </w:rPr>
            </w:pPr>
            <w:r>
              <w:rPr>
                <w:rFonts w:ascii="Arial" w:cs="Arial" w:eastAsia="Arial" w:hAnsi="Arial"/>
                <w:sz w:val="16"/>
                <w:szCs w:val="16"/>
                <w:color w:val="auto"/>
                <w:w w:val="96"/>
              </w:rPr>
              <w:t>(I.R. S. Employer Identification No.)</w:t>
            </w:r>
          </w:p>
        </w:tc>
      </w:tr>
      <w:tr>
        <w:trPr>
          <w:trHeight w:val="381"/>
        </w:trPr>
        <w:tc>
          <w:tcPr>
            <w:tcW w:w="5240" w:type="dxa"/>
            <w:vAlign w:val="bottom"/>
          </w:tcPr>
          <w:p>
            <w:pPr>
              <w:jc w:val="center"/>
              <w:ind w:right="1238"/>
              <w:spacing w:after="0"/>
              <w:rPr>
                <w:sz w:val="20"/>
                <w:szCs w:val="20"/>
                <w:color w:val="auto"/>
              </w:rPr>
            </w:pPr>
            <w:r>
              <w:rPr>
                <w:rFonts w:ascii="Arial" w:cs="Arial" w:eastAsia="Arial" w:hAnsi="Arial"/>
                <w:sz w:val="16"/>
                <w:szCs w:val="16"/>
                <w:b w:val="1"/>
                <w:bCs w:val="1"/>
                <w:color w:val="auto"/>
                <w:w w:val="95"/>
              </w:rPr>
              <w:t>555 IH 35 South, New Braunfels, TX</w:t>
            </w:r>
          </w:p>
        </w:tc>
        <w:tc>
          <w:tcPr>
            <w:tcW w:w="3760" w:type="dxa"/>
            <w:vAlign w:val="bottom"/>
          </w:tcPr>
          <w:p>
            <w:pPr>
              <w:jc w:val="right"/>
              <w:ind w:right="918"/>
              <w:spacing w:after="0"/>
              <w:rPr>
                <w:sz w:val="20"/>
                <w:szCs w:val="20"/>
                <w:color w:val="auto"/>
              </w:rPr>
            </w:pPr>
            <w:r>
              <w:rPr>
                <w:rFonts w:ascii="Arial" w:cs="Arial" w:eastAsia="Arial" w:hAnsi="Arial"/>
                <w:sz w:val="16"/>
                <w:szCs w:val="16"/>
                <w:b w:val="1"/>
                <w:bCs w:val="1"/>
                <w:color w:val="auto"/>
              </w:rPr>
              <w:t>78130</w:t>
            </w:r>
          </w:p>
        </w:tc>
      </w:tr>
      <w:tr>
        <w:trPr>
          <w:trHeight w:val="208"/>
        </w:trPr>
        <w:tc>
          <w:tcPr>
            <w:tcW w:w="5240" w:type="dxa"/>
            <w:vAlign w:val="bottom"/>
          </w:tcPr>
          <w:p>
            <w:pPr>
              <w:jc w:val="center"/>
              <w:ind w:right="1238"/>
              <w:spacing w:after="0"/>
              <w:rPr>
                <w:sz w:val="20"/>
                <w:szCs w:val="20"/>
                <w:color w:val="auto"/>
              </w:rPr>
            </w:pPr>
            <w:r>
              <w:rPr>
                <w:rFonts w:ascii="Arial" w:cs="Arial" w:eastAsia="Arial" w:hAnsi="Arial"/>
                <w:sz w:val="16"/>
                <w:szCs w:val="16"/>
                <w:color w:val="auto"/>
                <w:w w:val="94"/>
              </w:rPr>
              <w:t>(Address of principal executive offices)</w:t>
            </w:r>
          </w:p>
        </w:tc>
        <w:tc>
          <w:tcPr>
            <w:tcW w:w="3760" w:type="dxa"/>
            <w:vAlign w:val="bottom"/>
          </w:tcPr>
          <w:p>
            <w:pPr>
              <w:jc w:val="center"/>
              <w:ind w:left="1278"/>
              <w:spacing w:after="0"/>
              <w:rPr>
                <w:sz w:val="20"/>
                <w:szCs w:val="20"/>
                <w:color w:val="auto"/>
              </w:rPr>
            </w:pPr>
            <w:r>
              <w:rPr>
                <w:rFonts w:ascii="Arial" w:cs="Arial" w:eastAsia="Arial" w:hAnsi="Arial"/>
                <w:sz w:val="16"/>
                <w:szCs w:val="16"/>
                <w:color w:val="auto"/>
                <w:w w:val="95"/>
              </w:rPr>
              <w:t>(Zip Code)</w:t>
            </w:r>
          </w:p>
        </w:tc>
      </w:tr>
    </w:tbl>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(830) 626-5200</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None</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Class A and Class B Common Stock, $.01 par value</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(Title of Class)</w:t>
      </w:r>
    </w:p>
    <w:p>
      <w:pPr>
        <w:spacing w:after="0" w:line="197"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4" w:lineRule="exact"/>
        <w:rPr>
          <w:sz w:val="24"/>
          <w:szCs w:val="24"/>
          <w:color w:val="auto"/>
        </w:rPr>
      </w:pPr>
    </w:p>
    <w:p>
      <w:pPr>
        <w:ind w:left="6480"/>
        <w:spacing w:after="0"/>
        <w:tabs>
          <w:tab w:leader="none" w:pos="774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197"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p>
    <w:p>
      <w:pPr>
        <w:spacing w:after="0" w:line="24" w:lineRule="exact"/>
        <w:rPr>
          <w:sz w:val="24"/>
          <w:szCs w:val="24"/>
          <w:color w:val="auto"/>
        </w:rPr>
      </w:pPr>
    </w:p>
    <w:p>
      <w:pPr>
        <w:ind w:left="6480"/>
        <w:spacing w:after="0"/>
        <w:tabs>
          <w:tab w:leader="none" w:pos="774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197" w:lineRule="exact"/>
        <w:rPr>
          <w:sz w:val="24"/>
          <w:szCs w:val="24"/>
          <w:color w:val="auto"/>
        </w:rPr>
      </w:pPr>
    </w:p>
    <w:p>
      <w:pPr>
        <w:ind w:right="20" w:firstLine="294"/>
        <w:spacing w:after="0" w:line="30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480"/>
        <w:spacing w:after="0"/>
        <w:tabs>
          <w:tab w:leader="none" w:pos="774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197" w:lineRule="exact"/>
        <w:rPr>
          <w:sz w:val="24"/>
          <w:szCs w:val="24"/>
          <w:color w:val="auto"/>
        </w:rPr>
      </w:pPr>
    </w:p>
    <w:p>
      <w:pPr>
        <w:ind w:right="540" w:firstLine="294"/>
        <w:spacing w:after="0" w:line="322"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26" w:lineRule="exact"/>
        <w:rPr>
          <w:sz w:val="24"/>
          <w:szCs w:val="24"/>
          <w:color w:val="auto"/>
        </w:rPr>
      </w:pPr>
    </w:p>
    <w:p>
      <w:pPr>
        <w:ind w:right="160" w:firstLine="294"/>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the definitions of “large accelerated filer,” “accelerated filer” and smaller reporting company in Rule 12b-2 of the Exchange Act.</w:t>
      </w:r>
    </w:p>
    <w:p>
      <w:pPr>
        <w:spacing w:after="0" w:line="1" w:lineRule="exact"/>
        <w:rPr>
          <w:sz w:val="24"/>
          <w:szCs w:val="24"/>
          <w:color w:val="auto"/>
        </w:rPr>
      </w:pPr>
    </w:p>
    <w:p>
      <w:pPr>
        <w:ind w:left="640"/>
        <w:spacing w:after="0"/>
        <w:tabs>
          <w:tab w:leader="none" w:pos="3660" w:val="left"/>
          <w:tab w:leader="none" w:pos="6360" w:val="left"/>
          <w:tab w:leader="none" w:pos="898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97"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4" w:lineRule="exact"/>
        <w:rPr>
          <w:sz w:val="24"/>
          <w:szCs w:val="24"/>
          <w:color w:val="auto"/>
        </w:rPr>
      </w:pPr>
    </w:p>
    <w:p>
      <w:pPr>
        <w:ind w:left="6480"/>
        <w:spacing w:after="0"/>
        <w:tabs>
          <w:tab w:leader="none" w:pos="774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197" w:lineRule="exact"/>
        <w:rPr>
          <w:sz w:val="24"/>
          <w:szCs w:val="24"/>
          <w:color w:val="auto"/>
        </w:rPr>
      </w:pPr>
    </w:p>
    <w:p>
      <w:pPr>
        <w:ind w:firstLine="294"/>
        <w:spacing w:after="0" w:line="288" w:lineRule="auto"/>
        <w:rPr>
          <w:sz w:val="20"/>
          <w:szCs w:val="20"/>
          <w:color w:val="auto"/>
        </w:rPr>
      </w:pPr>
      <w:r>
        <w:rPr>
          <w:rFonts w:ascii="Arial" w:cs="Arial" w:eastAsia="Arial" w:hAnsi="Arial"/>
          <w:sz w:val="14"/>
          <w:szCs w:val="14"/>
          <w:color w:val="auto"/>
        </w:rPr>
        <w:t>The aggregate market value of common stock held by non-affiliates of the registrant as of June 30, 2008 was approximately $481,933,449 based upon the last sales price on June 30, 2008 on The NASDAQ Global Select Market</w:t>
      </w:r>
      <w:r>
        <w:rPr>
          <w:rFonts w:ascii="Arial" w:cs="Arial" w:eastAsia="Arial" w:hAnsi="Arial"/>
          <w:sz w:val="18"/>
          <w:szCs w:val="18"/>
          <w:color w:val="auto"/>
          <w:vertAlign w:val="superscript"/>
        </w:rPr>
        <w:t>SM</w:t>
      </w:r>
      <w:r>
        <w:rPr>
          <w:rFonts w:ascii="Arial" w:cs="Arial" w:eastAsia="Arial" w:hAnsi="Arial"/>
          <w:sz w:val="14"/>
          <w:szCs w:val="14"/>
          <w:color w:val="auto"/>
        </w:rPr>
        <w:t xml:space="preserve"> of $14.48 for the registrant’s Class A common stock and $13.96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53" w:lineRule="exact"/>
        <w:rPr>
          <w:sz w:val="24"/>
          <w:szCs w:val="24"/>
          <w:color w:val="auto"/>
        </w:rPr>
      </w:pPr>
    </w:p>
    <w:p>
      <w:pPr>
        <w:ind w:left="300"/>
        <w:spacing w:after="0"/>
        <w:rPr>
          <w:sz w:val="20"/>
          <w:szCs w:val="20"/>
          <w:color w:val="auto"/>
        </w:rPr>
      </w:pPr>
      <w:r>
        <w:rPr>
          <w:rFonts w:ascii="Arial" w:cs="Arial" w:eastAsia="Arial" w:hAnsi="Arial"/>
          <w:sz w:val="16"/>
          <w:szCs w:val="16"/>
          <w:color w:val="auto"/>
        </w:rPr>
        <w:t>The registrant had 26, 307,584 shares Class A common stock and 10,685,144 shares of Class B common stock outstanding on March 9, 2009.</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9" w:lineRule="exact"/>
        <w:rPr>
          <w:sz w:val="24"/>
          <w:szCs w:val="24"/>
          <w:color w:val="auto"/>
        </w:rPr>
      </w:pPr>
    </w:p>
    <w:p>
      <w:pPr>
        <w:ind w:right="420" w:firstLine="294"/>
        <w:spacing w:after="0" w:line="292" w:lineRule="auto"/>
        <w:rPr>
          <w:sz w:val="20"/>
          <w:szCs w:val="20"/>
          <w:color w:val="auto"/>
        </w:rPr>
      </w:pPr>
      <w:r>
        <w:rPr>
          <w:rFonts w:ascii="Arial" w:cs="Arial" w:eastAsia="Arial" w:hAnsi="Arial"/>
          <w:sz w:val="16"/>
          <w:szCs w:val="16"/>
          <w:b w:val="1"/>
          <w:bCs w:val="1"/>
          <w:color w:val="auto"/>
        </w:rPr>
        <w:t>Portions of registrant’s definitive proxy statement for the registrant’s 2009 Annual Meeting of Shareholders, to be filed with the Securities and Exchange Commission not later than April 30, 2009,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100330</wp:posOffset>
            </wp:positionV>
            <wp:extent cx="72593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139065</wp:posOffset>
            </wp:positionV>
            <wp:extent cx="725932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1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wp:posOffset>
            </wp:positionV>
            <wp:extent cx="727964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RUSH ENTERPRISES, INC.</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Index to Form 10-K</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Year ended December 31, 2008</w:t>
      </w:r>
    </w:p>
    <w:p>
      <w:pPr>
        <w:spacing w:after="0" w:line="205" w:lineRule="exact"/>
        <w:rPr>
          <w:sz w:val="24"/>
          <w:szCs w:val="24"/>
          <w:color w:val="auto"/>
        </w:rPr>
      </w:pPr>
    </w:p>
    <w:p>
      <w:pPr>
        <w:ind w:left="10740"/>
        <w:spacing w:after="0"/>
        <w:rPr>
          <w:sz w:val="20"/>
          <w:szCs w:val="20"/>
          <w:color w:val="auto"/>
        </w:rPr>
      </w:pPr>
      <w:r>
        <w:rPr>
          <w:rFonts w:ascii="Arial" w:cs="Arial" w:eastAsia="Arial" w:hAnsi="Arial"/>
          <w:sz w:val="13"/>
          <w:szCs w:val="13"/>
          <w:b w:val="1"/>
          <w:bCs w:val="1"/>
          <w:color w:val="auto"/>
        </w:rPr>
        <w:t>Page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6689090</wp:posOffset>
            </wp:positionH>
            <wp:positionV relativeFrom="paragraph">
              <wp:posOffset>3810</wp:posOffset>
            </wp:positionV>
            <wp:extent cx="5683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325" cy="7620"/>
                    </a:xfrm>
                    <a:prstGeom prst="rect">
                      <a:avLst/>
                    </a:prstGeom>
                    <a:noFill/>
                  </pic:spPr>
                </pic:pic>
              </a:graphicData>
            </a:graphic>
          </wp:anchor>
        </w:drawing>
      </w:r>
    </w:p>
    <w:p>
      <w:pPr>
        <w:sectPr>
          <w:pgSz w:w="11900" w:h="16838" w:orient="portrait"/>
          <w:cols w:equalWidth="0" w:num="1">
            <w:col w:w="11340"/>
          </w:cols>
          <w:pgMar w:left="240" w:top="225" w:right="319" w:bottom="0" w:gutter="0" w:footer="0" w:header="0"/>
        </w:sectPr>
      </w:pPr>
    </w:p>
    <w:p>
      <w:pPr>
        <w:spacing w:after="0" w:line="7" w:lineRule="exact"/>
        <w:rPr>
          <w:sz w:val="24"/>
          <w:szCs w:val="24"/>
          <w:color w:val="auto"/>
        </w:rPr>
      </w:pPr>
    </w:p>
    <w:p>
      <w:pPr>
        <w:jc w:val="center"/>
        <w:ind w:right="-79"/>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w:t>
        </w:r>
      </w:hyperlink>
    </w:p>
    <w:p>
      <w:pPr>
        <w:sectPr>
          <w:pgSz w:w="11900" w:h="16838" w:orient="portrait"/>
          <w:cols w:equalWidth="0" w:num="1">
            <w:col w:w="11340"/>
          </w:cols>
          <w:pgMar w:left="240" w:top="225"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40" w:type="dxa"/>
            <w:vAlign w:val="bottom"/>
            <w:tcBorders>
              <w:bottom w:val="single" w:sz="8" w:color="0000EE"/>
            </w:tcBorders>
          </w:tcPr>
          <w:p>
            <w:pPr>
              <w:spacing w:after="0"/>
              <w:rPr>
                <w:rFonts w:ascii="Arial" w:cs="Arial" w:eastAsia="Arial" w:hAnsi="Arial"/>
                <w:sz w:val="16"/>
                <w:szCs w:val="16"/>
                <w:color w:val="0000EE"/>
                <w:w w:val="94"/>
              </w:rPr>
            </w:pPr>
            <w:hyperlink w:anchor="page3">
              <w:r>
                <w:rPr>
                  <w:rFonts w:ascii="Arial" w:cs="Arial" w:eastAsia="Arial" w:hAnsi="Arial"/>
                  <w:sz w:val="16"/>
                  <w:szCs w:val="16"/>
                  <w:color w:val="0000EE"/>
                  <w:w w:val="94"/>
                </w:rPr>
                <w:t>Item 1</w:t>
              </w:r>
            </w:hyperlink>
          </w:p>
        </w:tc>
        <w:tc>
          <w:tcPr>
            <w:tcW w:w="860" w:type="dxa"/>
            <w:vAlign w:val="bottom"/>
            <w:gridSpan w:val="4"/>
          </w:tcPr>
          <w:p>
            <w:pPr>
              <w:spacing w:after="0"/>
              <w:rPr>
                <w:sz w:val="16"/>
                <w:szCs w:val="16"/>
                <w:color w:val="auto"/>
              </w:rPr>
            </w:pPr>
          </w:p>
        </w:tc>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3">
              <w:r>
                <w:rPr>
                  <w:rFonts w:ascii="Arial" w:cs="Arial" w:eastAsia="Arial" w:hAnsi="Arial"/>
                  <w:sz w:val="16"/>
                  <w:szCs w:val="16"/>
                  <w:color w:val="0000EE"/>
                  <w:w w:val="86"/>
                </w:rPr>
                <w:t>Business</w:t>
              </w:r>
            </w:hyperlink>
          </w:p>
        </w:tc>
        <w:tc>
          <w:tcPr>
            <w:tcW w:w="8060" w:type="dxa"/>
            <w:vAlign w:val="bottom"/>
            <w:gridSpan w:val="25"/>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76"/>
        </w:trPr>
        <w:tc>
          <w:tcPr>
            <w:tcW w:w="560" w:type="dxa"/>
            <w:vAlign w:val="bottom"/>
            <w:tcBorders>
              <w:bottom w:val="single" w:sz="8" w:color="0000EE"/>
            </w:tcBorders>
            <w:gridSpan w:val="4"/>
          </w:tcPr>
          <w:p>
            <w:pPr>
              <w:spacing w:after="0" w:line="176" w:lineRule="exact"/>
              <w:rPr>
                <w:rFonts w:ascii="Arial" w:cs="Arial" w:eastAsia="Arial" w:hAnsi="Arial"/>
                <w:sz w:val="16"/>
                <w:szCs w:val="16"/>
                <w:color w:val="0000EE"/>
                <w:w w:val="97"/>
              </w:rPr>
            </w:pPr>
            <w:hyperlink w:anchor="page10">
              <w:r>
                <w:rPr>
                  <w:rFonts w:ascii="Arial" w:cs="Arial" w:eastAsia="Arial" w:hAnsi="Arial"/>
                  <w:sz w:val="16"/>
                  <w:szCs w:val="16"/>
                  <w:color w:val="0000EE"/>
                  <w:w w:val="97"/>
                </w:rPr>
                <w:t>Item 1A</w:t>
              </w:r>
            </w:hyperlink>
          </w:p>
        </w:tc>
        <w:tc>
          <w:tcPr>
            <w:tcW w:w="740" w:type="dxa"/>
            <w:vAlign w:val="bottom"/>
          </w:tcPr>
          <w:p>
            <w:pPr>
              <w:spacing w:after="0"/>
              <w:rPr>
                <w:sz w:val="15"/>
                <w:szCs w:val="15"/>
                <w:color w:val="auto"/>
              </w:rPr>
            </w:pPr>
          </w:p>
        </w:tc>
        <w:tc>
          <w:tcPr>
            <w:tcW w:w="820" w:type="dxa"/>
            <w:vAlign w:val="bottom"/>
            <w:tcBorders>
              <w:bottom w:val="single" w:sz="8" w:color="0000EE"/>
            </w:tcBorders>
            <w:gridSpan w:val="3"/>
          </w:tcPr>
          <w:p>
            <w:pPr>
              <w:spacing w:after="0" w:line="176" w:lineRule="exact"/>
              <w:rPr>
                <w:rFonts w:ascii="Arial" w:cs="Arial" w:eastAsia="Arial" w:hAnsi="Arial"/>
                <w:sz w:val="16"/>
                <w:szCs w:val="16"/>
                <w:color w:val="0000EE"/>
                <w:w w:val="89"/>
              </w:rPr>
            </w:pPr>
            <w:hyperlink w:anchor="page10">
              <w:r>
                <w:rPr>
                  <w:rFonts w:ascii="Arial" w:cs="Arial" w:eastAsia="Arial" w:hAnsi="Arial"/>
                  <w:sz w:val="16"/>
                  <w:szCs w:val="16"/>
                  <w:color w:val="0000EE"/>
                  <w:w w:val="89"/>
                </w:rPr>
                <w:t>Risk Factors</w:t>
              </w:r>
            </w:hyperlink>
          </w:p>
        </w:tc>
        <w:tc>
          <w:tcPr>
            <w:tcW w:w="7820" w:type="dxa"/>
            <w:vAlign w:val="bottom"/>
            <w:gridSpan w:val="23"/>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76"/>
        </w:trPr>
        <w:tc>
          <w:tcPr>
            <w:tcW w:w="1300" w:type="dxa"/>
            <w:vAlign w:val="bottom"/>
            <w:gridSpan w:val="5"/>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Item 1B</w:t>
              </w:r>
            </w:hyperlink>
          </w:p>
        </w:tc>
        <w:tc>
          <w:tcPr>
            <w:tcW w:w="8640" w:type="dxa"/>
            <w:vAlign w:val="bottom"/>
            <w:gridSpan w:val="26"/>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Unresolved Staff Comments</w:t>
              </w:r>
            </w:hyperlink>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76"/>
        </w:trPr>
        <w:tc>
          <w:tcPr>
            <w:tcW w:w="440" w:type="dxa"/>
            <w:vAlign w:val="bottom"/>
            <w:tcBorders>
              <w:top w:val="single" w:sz="8" w:color="0000EE"/>
            </w:tcBorders>
          </w:tcPr>
          <w:p>
            <w:pPr>
              <w:spacing w:after="0" w:line="176" w:lineRule="exact"/>
              <w:rPr>
                <w:rFonts w:ascii="Arial" w:cs="Arial" w:eastAsia="Arial" w:hAnsi="Arial"/>
                <w:sz w:val="16"/>
                <w:szCs w:val="16"/>
                <w:color w:val="0000EE"/>
                <w:w w:val="94"/>
              </w:rPr>
            </w:pPr>
            <w:hyperlink w:anchor="page13">
              <w:r>
                <w:rPr>
                  <w:rFonts w:ascii="Arial" w:cs="Arial" w:eastAsia="Arial" w:hAnsi="Arial"/>
                  <w:sz w:val="16"/>
                  <w:szCs w:val="16"/>
                  <w:color w:val="0000EE"/>
                  <w:w w:val="94"/>
                </w:rPr>
                <w:t>Item 2</w:t>
              </w:r>
            </w:hyperlink>
          </w:p>
        </w:tc>
        <w:tc>
          <w:tcPr>
            <w:tcW w:w="100" w:type="dxa"/>
            <w:vAlign w:val="bottom"/>
            <w:tcBorders>
              <w:top w:val="single" w:sz="8" w:color="0000EE"/>
            </w:tcBorders>
            <w:gridSpan w:val="2"/>
          </w:tcPr>
          <w:p>
            <w:pPr>
              <w:spacing w:after="0"/>
              <w:rPr>
                <w:sz w:val="15"/>
                <w:szCs w:val="15"/>
                <w:color w:val="auto"/>
              </w:rPr>
            </w:pPr>
          </w:p>
        </w:tc>
        <w:tc>
          <w:tcPr>
            <w:tcW w:w="760" w:type="dxa"/>
            <w:vAlign w:val="bottom"/>
            <w:gridSpan w:val="2"/>
          </w:tcPr>
          <w:p>
            <w:pPr>
              <w:spacing w:after="0"/>
              <w:rPr>
                <w:sz w:val="15"/>
                <w:szCs w:val="15"/>
                <w:color w:val="auto"/>
              </w:rPr>
            </w:pPr>
          </w:p>
        </w:tc>
        <w:tc>
          <w:tcPr>
            <w:tcW w:w="1860" w:type="dxa"/>
            <w:vAlign w:val="bottom"/>
            <w:tcBorders>
              <w:top w:val="single" w:sz="8" w:color="0000EE"/>
            </w:tcBorders>
            <w:gridSpan w:val="8"/>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Properties</w:t>
              </w:r>
            </w:hyperlink>
          </w:p>
        </w:tc>
        <w:tc>
          <w:tcPr>
            <w:tcW w:w="6780" w:type="dxa"/>
            <w:vAlign w:val="bottom"/>
            <w:gridSpan w:val="18"/>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94"/>
              </w:rPr>
            </w:pPr>
            <w:hyperlink w:anchor="page13">
              <w:r>
                <w:rPr>
                  <w:rFonts w:ascii="Arial" w:cs="Arial" w:eastAsia="Arial" w:hAnsi="Arial"/>
                  <w:sz w:val="16"/>
                  <w:szCs w:val="16"/>
                  <w:color w:val="0000EE"/>
                  <w:w w:val="94"/>
                </w:rPr>
                <w:t>Item 3</w:t>
              </w:r>
            </w:hyperlink>
          </w:p>
        </w:tc>
        <w:tc>
          <w:tcPr>
            <w:tcW w:w="860" w:type="dxa"/>
            <w:vAlign w:val="bottom"/>
            <w:gridSpan w:val="4"/>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Legal Proceedings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94"/>
              </w:rPr>
            </w:pPr>
            <w:hyperlink w:anchor="page13">
              <w:r>
                <w:rPr>
                  <w:rFonts w:ascii="Arial" w:cs="Arial" w:eastAsia="Arial" w:hAnsi="Arial"/>
                  <w:sz w:val="16"/>
                  <w:szCs w:val="16"/>
                  <w:color w:val="0000EE"/>
                  <w:w w:val="94"/>
                </w:rPr>
                <w:t>Item 4</w:t>
              </w:r>
            </w:hyperlink>
          </w:p>
        </w:tc>
        <w:tc>
          <w:tcPr>
            <w:tcW w:w="860" w:type="dxa"/>
            <w:vAlign w:val="bottom"/>
            <w:gridSpan w:val="4"/>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13">
              <w:r>
                <w:rPr>
                  <w:rFonts w:ascii="Arial" w:cs="Arial" w:eastAsia="Arial" w:hAnsi="Arial"/>
                  <w:sz w:val="16"/>
                  <w:szCs w:val="16"/>
                  <w:color w:val="0000EE"/>
                </w:rPr>
                <w:t>Submission of Matters to a Vote of Security Holders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0000EE"/>
            </w:tcBorders>
          </w:tcPr>
          <w:p>
            <w:pPr>
              <w:jc w:val="center"/>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Part II</w:t>
              </w:r>
            </w:hyperlink>
          </w:p>
        </w:tc>
        <w:tc>
          <w:tcPr>
            <w:tcW w:w="3980" w:type="dxa"/>
            <w:vAlign w:val="bottom"/>
            <w:gridSpan w:val="7"/>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Borders>
              <w:bottom w:val="single" w:sz="8" w:color="0000EE"/>
            </w:tcBorders>
          </w:tcPr>
          <w:p>
            <w:pPr>
              <w:spacing w:after="0"/>
              <w:rPr>
                <w:rFonts w:ascii="Arial" w:cs="Arial" w:eastAsia="Arial" w:hAnsi="Arial"/>
                <w:sz w:val="16"/>
                <w:szCs w:val="16"/>
                <w:color w:val="0000EE"/>
                <w:w w:val="94"/>
              </w:rPr>
            </w:pPr>
            <w:hyperlink w:anchor="page14">
              <w:r>
                <w:rPr>
                  <w:rFonts w:ascii="Arial" w:cs="Arial" w:eastAsia="Arial" w:hAnsi="Arial"/>
                  <w:sz w:val="16"/>
                  <w:szCs w:val="16"/>
                  <w:color w:val="0000EE"/>
                  <w:w w:val="94"/>
                </w:rPr>
                <w:t>Item 5</w:t>
              </w:r>
            </w:hyperlink>
          </w:p>
        </w:tc>
        <w:tc>
          <w:tcPr>
            <w:tcW w:w="860" w:type="dxa"/>
            <w:vAlign w:val="bottom"/>
            <w:gridSpan w:val="4"/>
          </w:tcPr>
          <w:p>
            <w:pPr>
              <w:spacing w:after="0"/>
              <w:rPr>
                <w:sz w:val="24"/>
                <w:szCs w:val="24"/>
                <w:color w:val="auto"/>
              </w:rPr>
            </w:pPr>
          </w:p>
        </w:tc>
        <w:tc>
          <w:tcPr>
            <w:tcW w:w="7340" w:type="dxa"/>
            <w:vAlign w:val="bottom"/>
            <w:tcBorders>
              <w:bottom w:val="single" w:sz="8" w:color="0000EE"/>
            </w:tcBorders>
            <w:gridSpan w:val="25"/>
          </w:tcPr>
          <w:p>
            <w:pPr>
              <w:spacing w:after="0"/>
              <w:rPr>
                <w:rFonts w:ascii="Arial" w:cs="Arial" w:eastAsia="Arial" w:hAnsi="Arial"/>
                <w:sz w:val="16"/>
                <w:szCs w:val="16"/>
                <w:color w:val="0000EE"/>
                <w:w w:val="92"/>
              </w:rPr>
            </w:pPr>
            <w:hyperlink w:anchor="page14">
              <w:r>
                <w:rPr>
                  <w:rFonts w:ascii="Arial" w:cs="Arial" w:eastAsia="Arial" w:hAnsi="Arial"/>
                  <w:sz w:val="16"/>
                  <w:szCs w:val="16"/>
                  <w:color w:val="0000EE"/>
                  <w:w w:val="92"/>
                </w:rPr>
                <w:t>Market for Registrant’s Common Equity, Related Shareholder Matters and Issuer Purchases of Equity Securities</w:t>
              </w:r>
            </w:hyperlink>
          </w:p>
        </w:tc>
        <w:tc>
          <w:tcPr>
            <w:tcW w:w="1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94"/>
              </w:rPr>
            </w:pPr>
            <w:hyperlink w:anchor="page14">
              <w:r>
                <w:rPr>
                  <w:rFonts w:ascii="Arial" w:cs="Arial" w:eastAsia="Arial" w:hAnsi="Arial"/>
                  <w:sz w:val="16"/>
                  <w:szCs w:val="16"/>
                  <w:color w:val="0000EE"/>
                  <w:w w:val="94"/>
                </w:rPr>
                <w:t>Item 6</w:t>
              </w:r>
            </w:hyperlink>
          </w:p>
        </w:tc>
        <w:tc>
          <w:tcPr>
            <w:tcW w:w="860" w:type="dxa"/>
            <w:vAlign w:val="bottom"/>
            <w:gridSpan w:val="4"/>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14">
              <w:r>
                <w:rPr>
                  <w:rFonts w:ascii="Arial" w:cs="Arial" w:eastAsia="Arial" w:hAnsi="Arial"/>
                  <w:sz w:val="16"/>
                  <w:szCs w:val="16"/>
                  <w:color w:val="0000EE"/>
                </w:rPr>
                <w:t>Selected Financial Data</w:t>
              </w:r>
            </w:hyperlink>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94"/>
              </w:rPr>
            </w:pPr>
            <w:hyperlink w:anchor="page15">
              <w:r>
                <w:rPr>
                  <w:rFonts w:ascii="Arial" w:cs="Arial" w:eastAsia="Arial" w:hAnsi="Arial"/>
                  <w:sz w:val="16"/>
                  <w:szCs w:val="16"/>
                  <w:color w:val="0000EE"/>
                  <w:w w:val="94"/>
                </w:rPr>
                <w:t>Item 7</w:t>
              </w:r>
            </w:hyperlink>
          </w:p>
        </w:tc>
        <w:tc>
          <w:tcPr>
            <w:tcW w:w="860" w:type="dxa"/>
            <w:vAlign w:val="bottom"/>
            <w:gridSpan w:val="4"/>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15">
              <w:r>
                <w:rPr>
                  <w:rFonts w:ascii="Arial" w:cs="Arial" w:eastAsia="Arial" w:hAnsi="Arial"/>
                  <w:sz w:val="16"/>
                  <w:szCs w:val="16"/>
                  <w:color w:val="0000EE"/>
                </w:rPr>
                <w:t>Management’s Discussion and Analysis of Financial Condition and Results of Operations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line="20" w:lineRule="exact"/>
              <w:rPr>
                <w:sz w:val="1"/>
                <w:szCs w:val="1"/>
                <w:color w:val="auto"/>
              </w:rPr>
            </w:pPr>
          </w:p>
        </w:tc>
      </w:tr>
      <w:tr>
        <w:trPr>
          <w:trHeight w:val="176"/>
        </w:trPr>
        <w:tc>
          <w:tcPr>
            <w:tcW w:w="560" w:type="dxa"/>
            <w:vAlign w:val="bottom"/>
            <w:tcBorders>
              <w:bottom w:val="single" w:sz="8" w:color="0000EE"/>
            </w:tcBorders>
            <w:gridSpan w:val="4"/>
          </w:tcPr>
          <w:p>
            <w:pPr>
              <w:spacing w:after="0" w:line="176" w:lineRule="exact"/>
              <w:rPr>
                <w:rFonts w:ascii="Arial" w:cs="Arial" w:eastAsia="Arial" w:hAnsi="Arial"/>
                <w:sz w:val="16"/>
                <w:szCs w:val="16"/>
                <w:color w:val="0000EE"/>
                <w:w w:val="97"/>
              </w:rPr>
            </w:pPr>
            <w:hyperlink w:anchor="page24">
              <w:r>
                <w:rPr>
                  <w:rFonts w:ascii="Arial" w:cs="Arial" w:eastAsia="Arial" w:hAnsi="Arial"/>
                  <w:sz w:val="16"/>
                  <w:szCs w:val="16"/>
                  <w:color w:val="0000EE"/>
                  <w:w w:val="97"/>
                </w:rPr>
                <w:t>Item 7A</w:t>
              </w:r>
            </w:hyperlink>
          </w:p>
        </w:tc>
        <w:tc>
          <w:tcPr>
            <w:tcW w:w="740" w:type="dxa"/>
            <w:vAlign w:val="bottom"/>
          </w:tcPr>
          <w:p>
            <w:pPr>
              <w:spacing w:after="0"/>
              <w:rPr>
                <w:sz w:val="15"/>
                <w:szCs w:val="15"/>
                <w:color w:val="auto"/>
              </w:rPr>
            </w:pPr>
          </w:p>
        </w:tc>
        <w:tc>
          <w:tcPr>
            <w:tcW w:w="3920" w:type="dxa"/>
            <w:vAlign w:val="bottom"/>
            <w:tcBorders>
              <w:bottom w:val="single" w:sz="8" w:color="0000EE"/>
            </w:tcBorders>
            <w:gridSpan w:val="15"/>
          </w:tcPr>
          <w:p>
            <w:pPr>
              <w:spacing w:after="0" w:line="176" w:lineRule="exact"/>
              <w:rPr>
                <w:rFonts w:ascii="Arial" w:cs="Arial" w:eastAsia="Arial" w:hAnsi="Arial"/>
                <w:sz w:val="16"/>
                <w:szCs w:val="16"/>
                <w:color w:val="0000EE"/>
                <w:w w:val="93"/>
              </w:rPr>
            </w:pPr>
            <w:hyperlink w:anchor="page24">
              <w:r>
                <w:rPr>
                  <w:rFonts w:ascii="Arial" w:cs="Arial" w:eastAsia="Arial" w:hAnsi="Arial"/>
                  <w:sz w:val="16"/>
                  <w:szCs w:val="16"/>
                  <w:color w:val="0000EE"/>
                  <w:w w:val="93"/>
                </w:rPr>
                <w:t>Quantitative and Qualitative Disclosures about Market Risk</w:t>
              </w:r>
            </w:hyperlink>
          </w:p>
        </w:tc>
        <w:tc>
          <w:tcPr>
            <w:tcW w:w="4720" w:type="dxa"/>
            <w:vAlign w:val="bottom"/>
            <w:gridSpan w:val="11"/>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94"/>
              </w:rPr>
            </w:pPr>
            <w:hyperlink w:anchor="page25">
              <w:r>
                <w:rPr>
                  <w:rFonts w:ascii="Arial" w:cs="Arial" w:eastAsia="Arial" w:hAnsi="Arial"/>
                  <w:sz w:val="16"/>
                  <w:szCs w:val="16"/>
                  <w:color w:val="0000EE"/>
                  <w:w w:val="94"/>
                </w:rPr>
                <w:t>Item 8</w:t>
              </w:r>
            </w:hyperlink>
          </w:p>
        </w:tc>
        <w:tc>
          <w:tcPr>
            <w:tcW w:w="860" w:type="dxa"/>
            <w:vAlign w:val="bottom"/>
            <w:gridSpan w:val="4"/>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25">
              <w:r>
                <w:rPr>
                  <w:rFonts w:ascii="Arial" w:cs="Arial" w:eastAsia="Arial" w:hAnsi="Arial"/>
                  <w:sz w:val="16"/>
                  <w:szCs w:val="16"/>
                  <w:color w:val="0000EE"/>
                </w:rPr>
                <w:t>Financial Statements and Supplementary Data</w:t>
              </w:r>
            </w:hyperlink>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line="176" w:lineRule="exact"/>
              <w:rPr>
                <w:rFonts w:ascii="Arial" w:cs="Arial" w:eastAsia="Arial" w:hAnsi="Arial"/>
                <w:sz w:val="16"/>
                <w:szCs w:val="16"/>
                <w:color w:val="0000EE"/>
                <w:w w:val="94"/>
              </w:rPr>
            </w:pPr>
            <w:hyperlink w:anchor="page42">
              <w:r>
                <w:rPr>
                  <w:rFonts w:ascii="Arial" w:cs="Arial" w:eastAsia="Arial" w:hAnsi="Arial"/>
                  <w:sz w:val="16"/>
                  <w:szCs w:val="16"/>
                  <w:color w:val="0000EE"/>
                  <w:w w:val="94"/>
                </w:rPr>
                <w:t>Item 9</w:t>
              </w:r>
            </w:hyperlink>
          </w:p>
        </w:tc>
        <w:tc>
          <w:tcPr>
            <w:tcW w:w="860" w:type="dxa"/>
            <w:vAlign w:val="bottom"/>
            <w:gridSpan w:val="4"/>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42">
              <w:r>
                <w:rPr>
                  <w:rFonts w:ascii="Arial" w:cs="Arial" w:eastAsia="Arial" w:hAnsi="Arial"/>
                  <w:sz w:val="16"/>
                  <w:szCs w:val="16"/>
                  <w:color w:val="0000EE"/>
                </w:rPr>
                <w:t>Changes in and Disagreements with Accountants on Accounting and Financial Disclosure</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line="20" w:lineRule="exact"/>
              <w:rPr>
                <w:sz w:val="1"/>
                <w:szCs w:val="1"/>
                <w:color w:val="auto"/>
              </w:rPr>
            </w:pPr>
          </w:p>
        </w:tc>
      </w:tr>
      <w:tr>
        <w:trPr>
          <w:trHeight w:val="176"/>
        </w:trPr>
        <w:tc>
          <w:tcPr>
            <w:tcW w:w="560" w:type="dxa"/>
            <w:vAlign w:val="bottom"/>
            <w:gridSpan w:val="4"/>
          </w:tcPr>
          <w:p>
            <w:pPr>
              <w:spacing w:after="0" w:line="176" w:lineRule="exact"/>
              <w:rPr>
                <w:rFonts w:ascii="Arial" w:cs="Arial" w:eastAsia="Arial" w:hAnsi="Arial"/>
                <w:sz w:val="16"/>
                <w:szCs w:val="16"/>
                <w:color w:val="0000EE"/>
                <w:w w:val="97"/>
              </w:rPr>
            </w:pPr>
            <w:hyperlink w:anchor="page42">
              <w:r>
                <w:rPr>
                  <w:rFonts w:ascii="Arial" w:cs="Arial" w:eastAsia="Arial" w:hAnsi="Arial"/>
                  <w:sz w:val="16"/>
                  <w:szCs w:val="16"/>
                  <w:color w:val="0000EE"/>
                  <w:w w:val="97"/>
                </w:rPr>
                <w:t>Item 9A</w:t>
              </w:r>
            </w:hyperlink>
          </w:p>
        </w:tc>
        <w:tc>
          <w:tcPr>
            <w:tcW w:w="740" w:type="dxa"/>
            <w:vAlign w:val="bottom"/>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42">
              <w:r>
                <w:rPr>
                  <w:rFonts w:ascii="Arial" w:cs="Arial" w:eastAsia="Arial" w:hAnsi="Arial"/>
                  <w:sz w:val="16"/>
                  <w:szCs w:val="16"/>
                  <w:color w:val="0000EE"/>
                </w:rPr>
                <w:t>Controls and Procedures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 w:type="dxa"/>
            <w:vAlign w:val="bottom"/>
            <w:tcBorders>
              <w:top w:val="single" w:sz="8" w:color="0000EE"/>
            </w:tcBorders>
            <w:gridSpan w:val="4"/>
          </w:tcPr>
          <w:p>
            <w:pPr>
              <w:spacing w:after="0" w:line="176" w:lineRule="exact"/>
              <w:rPr>
                <w:rFonts w:ascii="Arial" w:cs="Arial" w:eastAsia="Arial" w:hAnsi="Arial"/>
                <w:sz w:val="16"/>
                <w:szCs w:val="16"/>
                <w:color w:val="0000EE"/>
                <w:w w:val="97"/>
              </w:rPr>
            </w:pPr>
            <w:hyperlink w:anchor="page43">
              <w:r>
                <w:rPr>
                  <w:rFonts w:ascii="Arial" w:cs="Arial" w:eastAsia="Arial" w:hAnsi="Arial"/>
                  <w:sz w:val="16"/>
                  <w:szCs w:val="16"/>
                  <w:color w:val="0000EE"/>
                  <w:w w:val="97"/>
                </w:rPr>
                <w:t>Item 9B</w:t>
              </w:r>
            </w:hyperlink>
          </w:p>
        </w:tc>
        <w:tc>
          <w:tcPr>
            <w:tcW w:w="740" w:type="dxa"/>
            <w:vAlign w:val="bottom"/>
          </w:tcPr>
          <w:p>
            <w:pPr>
              <w:spacing w:after="0"/>
              <w:rPr>
                <w:sz w:val="15"/>
                <w:szCs w:val="15"/>
                <w:color w:val="auto"/>
              </w:rPr>
            </w:pPr>
          </w:p>
        </w:tc>
        <w:tc>
          <w:tcPr>
            <w:tcW w:w="1600" w:type="dxa"/>
            <w:vAlign w:val="bottom"/>
            <w:tcBorders>
              <w:top w:val="single" w:sz="8" w:color="0000EE"/>
            </w:tcBorders>
            <w:gridSpan w:val="6"/>
          </w:tcPr>
          <w:p>
            <w:pPr>
              <w:spacing w:after="0" w:line="176" w:lineRule="exact"/>
              <w:rPr>
                <w:rFonts w:ascii="Arial" w:cs="Arial" w:eastAsia="Arial" w:hAnsi="Arial"/>
                <w:sz w:val="16"/>
                <w:szCs w:val="16"/>
                <w:color w:val="0000EE"/>
              </w:rPr>
            </w:pPr>
            <w:hyperlink w:anchor="page43">
              <w:r>
                <w:rPr>
                  <w:rFonts w:ascii="Arial" w:cs="Arial" w:eastAsia="Arial" w:hAnsi="Arial"/>
                  <w:sz w:val="16"/>
                  <w:szCs w:val="16"/>
                  <w:color w:val="0000EE"/>
                </w:rPr>
                <w:t>Other Information</w:t>
              </w:r>
            </w:hyperlink>
          </w:p>
        </w:tc>
        <w:tc>
          <w:tcPr>
            <w:tcW w:w="7040" w:type="dxa"/>
            <w:vAlign w:val="bottom"/>
            <w:gridSpan w:val="20"/>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373"/>
        </w:trPr>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bottom w:val="single" w:sz="8" w:color="0000EE"/>
            </w:tcBorders>
            <w:gridSpan w:val="5"/>
          </w:tcPr>
          <w:p>
            <w:pPr>
              <w:jc w:val="center"/>
              <w:ind w:right="20"/>
              <w:spacing w:after="0"/>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Part III</w:t>
              </w:r>
            </w:hyperlink>
          </w:p>
        </w:tc>
        <w:tc>
          <w:tcPr>
            <w:tcW w:w="3940" w:type="dxa"/>
            <w:vAlign w:val="bottom"/>
            <w:gridSpan w:val="5"/>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00" w:type="dxa"/>
            <w:vAlign w:val="bottom"/>
            <w:gridSpan w:val="2"/>
          </w:tcPr>
          <w:p>
            <w:pPr>
              <w:spacing w:after="0"/>
              <w:rPr>
                <w:rFonts w:ascii="Arial" w:cs="Arial" w:eastAsia="Arial" w:hAnsi="Arial"/>
                <w:sz w:val="16"/>
                <w:szCs w:val="16"/>
                <w:color w:val="0000EE"/>
                <w:w w:val="86"/>
              </w:rPr>
            </w:pPr>
            <w:hyperlink w:anchor="page43">
              <w:r>
                <w:rPr>
                  <w:rFonts w:ascii="Arial" w:cs="Arial" w:eastAsia="Arial" w:hAnsi="Arial"/>
                  <w:sz w:val="16"/>
                  <w:szCs w:val="16"/>
                  <w:color w:val="0000EE"/>
                  <w:w w:val="86"/>
                </w:rPr>
                <w:t>Item 10</w:t>
              </w:r>
            </w:hyperlink>
          </w:p>
        </w:tc>
        <w:tc>
          <w:tcPr>
            <w:tcW w:w="800" w:type="dxa"/>
            <w:vAlign w:val="bottom"/>
            <w:gridSpan w:val="3"/>
          </w:tcPr>
          <w:p>
            <w:pPr>
              <w:spacing w:after="0"/>
              <w:rPr>
                <w:sz w:val="24"/>
                <w:szCs w:val="24"/>
                <w:color w:val="auto"/>
              </w:rPr>
            </w:pPr>
          </w:p>
        </w:tc>
        <w:tc>
          <w:tcPr>
            <w:tcW w:w="8640" w:type="dxa"/>
            <w:vAlign w:val="bottom"/>
            <w:gridSpan w:val="26"/>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Directors and Executive Officers of the Registrant</w:t>
              </w:r>
            </w:hyperlink>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tcBorders>
            <w:gridSpan w:val="2"/>
          </w:tcPr>
          <w:p>
            <w:pPr>
              <w:spacing w:after="0" w:line="176" w:lineRule="exact"/>
              <w:rPr>
                <w:rFonts w:ascii="Arial" w:cs="Arial" w:eastAsia="Arial" w:hAnsi="Arial"/>
                <w:sz w:val="16"/>
                <w:szCs w:val="16"/>
                <w:color w:val="0000EE"/>
                <w:w w:val="86"/>
              </w:rPr>
            </w:pPr>
            <w:hyperlink w:anchor="page43">
              <w:r>
                <w:rPr>
                  <w:rFonts w:ascii="Arial" w:cs="Arial" w:eastAsia="Arial" w:hAnsi="Arial"/>
                  <w:sz w:val="16"/>
                  <w:szCs w:val="16"/>
                  <w:color w:val="0000EE"/>
                  <w:w w:val="86"/>
                </w:rPr>
                <w:t>Item 11</w:t>
              </w:r>
            </w:hyperlink>
          </w:p>
        </w:tc>
        <w:tc>
          <w:tcPr>
            <w:tcW w:w="800" w:type="dxa"/>
            <w:vAlign w:val="bottom"/>
            <w:gridSpan w:val="3"/>
          </w:tcPr>
          <w:p>
            <w:pPr>
              <w:spacing w:after="0"/>
              <w:rPr>
                <w:sz w:val="15"/>
                <w:szCs w:val="15"/>
                <w:color w:val="auto"/>
              </w:rPr>
            </w:pPr>
          </w:p>
        </w:tc>
        <w:tc>
          <w:tcPr>
            <w:tcW w:w="3280" w:type="dxa"/>
            <w:vAlign w:val="bottom"/>
            <w:tcBorders>
              <w:top w:val="single" w:sz="8" w:color="0000EE"/>
            </w:tcBorders>
            <w:gridSpan w:val="13"/>
          </w:tcPr>
          <w:p>
            <w:pPr>
              <w:spacing w:after="0" w:line="176" w:lineRule="exact"/>
              <w:rPr>
                <w:rFonts w:ascii="Arial" w:cs="Arial" w:eastAsia="Arial" w:hAnsi="Arial"/>
                <w:sz w:val="16"/>
                <w:szCs w:val="16"/>
                <w:color w:val="0000EE"/>
              </w:rPr>
            </w:pPr>
            <w:hyperlink w:anchor="page43">
              <w:r>
                <w:rPr>
                  <w:rFonts w:ascii="Arial" w:cs="Arial" w:eastAsia="Arial" w:hAnsi="Arial"/>
                  <w:sz w:val="16"/>
                  <w:szCs w:val="16"/>
                  <w:color w:val="0000EE"/>
                </w:rPr>
                <w:t>Executive Compensation</w:t>
              </w:r>
            </w:hyperlink>
          </w:p>
        </w:tc>
        <w:tc>
          <w:tcPr>
            <w:tcW w:w="5360" w:type="dxa"/>
            <w:vAlign w:val="bottom"/>
            <w:gridSpan w:val="13"/>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line="20" w:lineRule="exact"/>
              <w:rPr>
                <w:sz w:val="1"/>
                <w:szCs w:val="1"/>
                <w:color w:val="auto"/>
              </w:rPr>
            </w:pPr>
          </w:p>
        </w:tc>
      </w:tr>
      <w:tr>
        <w:trPr>
          <w:trHeight w:val="176"/>
        </w:trPr>
        <w:tc>
          <w:tcPr>
            <w:tcW w:w="500" w:type="dxa"/>
            <w:vAlign w:val="bottom"/>
            <w:gridSpan w:val="2"/>
          </w:tcPr>
          <w:p>
            <w:pPr>
              <w:spacing w:after="0" w:line="176" w:lineRule="exact"/>
              <w:rPr>
                <w:rFonts w:ascii="Arial" w:cs="Arial" w:eastAsia="Arial" w:hAnsi="Arial"/>
                <w:sz w:val="16"/>
                <w:szCs w:val="16"/>
                <w:color w:val="0000EE"/>
                <w:w w:val="86"/>
              </w:rPr>
            </w:pPr>
            <w:hyperlink w:anchor="page43">
              <w:r>
                <w:rPr>
                  <w:rFonts w:ascii="Arial" w:cs="Arial" w:eastAsia="Arial" w:hAnsi="Arial"/>
                  <w:sz w:val="16"/>
                  <w:szCs w:val="16"/>
                  <w:color w:val="0000EE"/>
                  <w:w w:val="86"/>
                </w:rPr>
                <w:t>Item 12</w:t>
              </w:r>
            </w:hyperlink>
          </w:p>
        </w:tc>
        <w:tc>
          <w:tcPr>
            <w:tcW w:w="800" w:type="dxa"/>
            <w:vAlign w:val="bottom"/>
            <w:gridSpan w:val="3"/>
          </w:tcPr>
          <w:p>
            <w:pPr>
              <w:spacing w:after="0"/>
              <w:rPr>
                <w:sz w:val="15"/>
                <w:szCs w:val="15"/>
                <w:color w:val="auto"/>
              </w:rPr>
            </w:pPr>
          </w:p>
        </w:tc>
        <w:tc>
          <w:tcPr>
            <w:tcW w:w="8640" w:type="dxa"/>
            <w:vAlign w:val="bottom"/>
            <w:gridSpan w:val="26"/>
          </w:tcPr>
          <w:p>
            <w:pPr>
              <w:spacing w:after="0" w:line="176" w:lineRule="exact"/>
              <w:rPr>
                <w:rFonts w:ascii="Arial" w:cs="Arial" w:eastAsia="Arial" w:hAnsi="Arial"/>
                <w:sz w:val="16"/>
                <w:szCs w:val="16"/>
                <w:color w:val="0000EE"/>
              </w:rPr>
            </w:pPr>
            <w:hyperlink w:anchor="page43">
              <w:r>
                <w:rPr>
                  <w:rFonts w:ascii="Arial" w:cs="Arial" w:eastAsia="Arial" w:hAnsi="Arial"/>
                  <w:sz w:val="16"/>
                  <w:szCs w:val="16"/>
                  <w:color w:val="0000EE"/>
                </w:rPr>
                <w:t>Security Ownership of Certain Beneficial Owners and Management and Related Shareholder Matters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top w:val="single" w:sz="8" w:color="0000EE"/>
              <w:bottom w:val="single" w:sz="8" w:color="0000EE"/>
            </w:tcBorders>
            <w:gridSpan w:val="2"/>
          </w:tcPr>
          <w:p>
            <w:pPr>
              <w:spacing w:after="0" w:line="176" w:lineRule="exact"/>
              <w:rPr>
                <w:rFonts w:ascii="Arial" w:cs="Arial" w:eastAsia="Arial" w:hAnsi="Arial"/>
                <w:sz w:val="16"/>
                <w:szCs w:val="16"/>
                <w:color w:val="0000EE"/>
                <w:w w:val="86"/>
              </w:rPr>
            </w:pPr>
            <w:hyperlink w:anchor="page44">
              <w:r>
                <w:rPr>
                  <w:rFonts w:ascii="Arial" w:cs="Arial" w:eastAsia="Arial" w:hAnsi="Arial"/>
                  <w:sz w:val="16"/>
                  <w:szCs w:val="16"/>
                  <w:color w:val="0000EE"/>
                  <w:w w:val="86"/>
                </w:rPr>
                <w:t>Item 13</w:t>
              </w:r>
            </w:hyperlink>
          </w:p>
        </w:tc>
        <w:tc>
          <w:tcPr>
            <w:tcW w:w="800" w:type="dxa"/>
            <w:vAlign w:val="bottom"/>
            <w:gridSpan w:val="3"/>
          </w:tcPr>
          <w:p>
            <w:pPr>
              <w:spacing w:after="0"/>
              <w:rPr>
                <w:sz w:val="15"/>
                <w:szCs w:val="15"/>
                <w:color w:val="auto"/>
              </w:rPr>
            </w:pPr>
          </w:p>
        </w:tc>
        <w:tc>
          <w:tcPr>
            <w:tcW w:w="3100" w:type="dxa"/>
            <w:vAlign w:val="bottom"/>
            <w:tcBorders>
              <w:top w:val="single" w:sz="8" w:color="0000EE"/>
              <w:bottom w:val="single" w:sz="8" w:color="0000EE"/>
            </w:tcBorders>
            <w:gridSpan w:val="12"/>
          </w:tcPr>
          <w:p>
            <w:pPr>
              <w:spacing w:after="0" w:line="176" w:lineRule="exact"/>
              <w:rPr>
                <w:rFonts w:ascii="Arial" w:cs="Arial" w:eastAsia="Arial" w:hAnsi="Arial"/>
                <w:sz w:val="16"/>
                <w:szCs w:val="16"/>
                <w:color w:val="0000EE"/>
                <w:w w:val="90"/>
              </w:rPr>
            </w:pPr>
            <w:hyperlink w:anchor="page44">
              <w:r>
                <w:rPr>
                  <w:rFonts w:ascii="Arial" w:cs="Arial" w:eastAsia="Arial" w:hAnsi="Arial"/>
                  <w:sz w:val="16"/>
                  <w:szCs w:val="16"/>
                  <w:color w:val="0000EE"/>
                  <w:w w:val="90"/>
                </w:rPr>
                <w:t>Certain Relationships and Related Transactions</w:t>
              </w:r>
            </w:hyperlink>
          </w:p>
        </w:tc>
        <w:tc>
          <w:tcPr>
            <w:tcW w:w="3520" w:type="dxa"/>
            <w:vAlign w:val="bottom"/>
            <w:tcBorders>
              <w:top w:val="single" w:sz="8" w:color="0000EE"/>
            </w:tcBorders>
            <w:gridSpan w:val="12"/>
          </w:tcPr>
          <w:p>
            <w:pPr>
              <w:spacing w:after="0"/>
              <w:rPr>
                <w:sz w:val="15"/>
                <w:szCs w:val="15"/>
                <w:color w:val="auto"/>
              </w:rPr>
            </w:pPr>
          </w:p>
        </w:tc>
        <w:tc>
          <w:tcPr>
            <w:tcW w:w="2020" w:type="dxa"/>
            <w:vAlign w:val="bottom"/>
            <w:gridSpan w:val="2"/>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176"/>
        </w:trPr>
        <w:tc>
          <w:tcPr>
            <w:tcW w:w="1300" w:type="dxa"/>
            <w:vAlign w:val="bottom"/>
            <w:gridSpan w:val="5"/>
          </w:tcPr>
          <w:p>
            <w:pPr>
              <w:spacing w:after="0" w:line="176" w:lineRule="exact"/>
              <w:rPr>
                <w:rFonts w:ascii="Arial" w:cs="Arial" w:eastAsia="Arial" w:hAnsi="Arial"/>
                <w:sz w:val="16"/>
                <w:szCs w:val="16"/>
                <w:color w:val="0000EE"/>
              </w:rPr>
            </w:pPr>
            <w:hyperlink w:anchor="page44">
              <w:r>
                <w:rPr>
                  <w:rFonts w:ascii="Arial" w:cs="Arial" w:eastAsia="Arial" w:hAnsi="Arial"/>
                  <w:sz w:val="16"/>
                  <w:szCs w:val="16"/>
                  <w:color w:val="0000EE"/>
                </w:rPr>
                <w:t>Item 14</w:t>
              </w:r>
            </w:hyperlink>
          </w:p>
        </w:tc>
        <w:tc>
          <w:tcPr>
            <w:tcW w:w="8640" w:type="dxa"/>
            <w:vAlign w:val="bottom"/>
            <w:gridSpan w:val="26"/>
          </w:tcPr>
          <w:p>
            <w:pPr>
              <w:spacing w:after="0" w:line="176" w:lineRule="exact"/>
              <w:rPr>
                <w:rFonts w:ascii="Arial" w:cs="Arial" w:eastAsia="Arial" w:hAnsi="Arial"/>
                <w:sz w:val="16"/>
                <w:szCs w:val="16"/>
                <w:color w:val="0000EE"/>
              </w:rPr>
            </w:pPr>
            <w:hyperlink w:anchor="page44">
              <w:r>
                <w:rPr>
                  <w:rFonts w:ascii="Arial" w:cs="Arial" w:eastAsia="Arial" w:hAnsi="Arial"/>
                  <w:sz w:val="16"/>
                  <w:szCs w:val="16"/>
                  <w:color w:val="0000EE"/>
                </w:rPr>
                <w:t>Principal Accountant Fees and Services</w:t>
              </w:r>
            </w:hyperlink>
          </w:p>
        </w:tc>
        <w:tc>
          <w:tcPr>
            <w:tcW w:w="14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373"/>
        </w:trPr>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Part IV</w:t>
              </w:r>
            </w:hyperlink>
          </w:p>
        </w:tc>
        <w:tc>
          <w:tcPr>
            <w:tcW w:w="3960" w:type="dxa"/>
            <w:vAlign w:val="bottom"/>
            <w:gridSpan w:val="6"/>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00" w:type="dxa"/>
            <w:vAlign w:val="bottom"/>
            <w:gridSpan w:val="2"/>
          </w:tcPr>
          <w:p>
            <w:pPr>
              <w:spacing w:after="0"/>
              <w:rPr>
                <w:rFonts w:ascii="Arial" w:cs="Arial" w:eastAsia="Arial" w:hAnsi="Arial"/>
                <w:sz w:val="16"/>
                <w:szCs w:val="16"/>
                <w:color w:val="0000EE"/>
                <w:w w:val="86"/>
              </w:rPr>
            </w:pPr>
            <w:hyperlink w:anchor="page44">
              <w:r>
                <w:rPr>
                  <w:rFonts w:ascii="Arial" w:cs="Arial" w:eastAsia="Arial" w:hAnsi="Arial"/>
                  <w:sz w:val="16"/>
                  <w:szCs w:val="16"/>
                  <w:color w:val="0000EE"/>
                  <w:w w:val="86"/>
                </w:rPr>
                <w:t>Item 15</w:t>
              </w:r>
            </w:hyperlink>
          </w:p>
        </w:tc>
        <w:tc>
          <w:tcPr>
            <w:tcW w:w="800" w:type="dxa"/>
            <w:vAlign w:val="bottom"/>
            <w:gridSpan w:val="3"/>
          </w:tcPr>
          <w:p>
            <w:pPr>
              <w:spacing w:after="0"/>
              <w:rPr>
                <w:sz w:val="24"/>
                <w:szCs w:val="24"/>
                <w:color w:val="auto"/>
              </w:rPr>
            </w:pPr>
          </w:p>
        </w:tc>
        <w:tc>
          <w:tcPr>
            <w:tcW w:w="8640" w:type="dxa"/>
            <w:vAlign w:val="bottom"/>
            <w:gridSpan w:val="26"/>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Exhibits and Financial Statement Schedules</w:t>
              </w:r>
            </w:hyperlink>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279640"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213"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risks associated with the current global economic crisis and its impact on capital markets and liquidity,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INCORPORATION BY REFERENCE</w:t>
      </w:r>
    </w:p>
    <w:p>
      <w:pPr>
        <w:spacing w:after="0" w:line="2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TRADEMARKS USED IN THIS FORM 10-K</w:t>
      </w:r>
    </w:p>
    <w:p>
      <w:pPr>
        <w:spacing w:after="0" w:line="213" w:lineRule="exact"/>
        <w:rPr>
          <w:sz w:val="20"/>
          <w:szCs w:val="20"/>
          <w:color w:val="auto"/>
        </w:rPr>
      </w:pPr>
    </w:p>
    <w:p>
      <w:pPr>
        <w:ind w:right="80"/>
        <w:spacing w:after="0" w:line="224" w:lineRule="auto"/>
        <w:rPr>
          <w:sz w:val="20"/>
          <w:szCs w:val="20"/>
          <w:color w:val="auto"/>
        </w:rPr>
      </w:pPr>
      <w:r>
        <w:rPr>
          <w:rFonts w:ascii="Arial" w:cs="Arial" w:eastAsia="Arial" w:hAnsi="Arial"/>
          <w:sz w:val="15"/>
          <w:szCs w:val="15"/>
          <w:i w:val="1"/>
          <w:iCs w:val="1"/>
          <w:color w:val="auto"/>
        </w:rPr>
        <w:t>Peterbilt</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Peterbilt Motors Company. PACCAR</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PACCAR, Inc. GMC</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General Motors Corporation. Hino</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Hino Motors, Ltd. UD</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Nissan Diesel Motor Co., Ltd. Isuzu</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Isuzu Motors Limited. John Deere</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Deere &amp; Company. Kenworth</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PACCAR, Inc. doing business as Kenworth Truck Company. Volvo</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Volvo Trademark Holding AB. Freightliner</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Freightliner Corporation. Mack</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Mack Trucks, Inc. Navistar</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Navistar International Corporation. Caterpillar</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Caterpillar, Inc. Cummins</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Cummins Engine Company, Inc. PacLease</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PACCAR Leasing Corporation. CitiCapital</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Citicorp. Ford</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Ford Motor Company. Cummins</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Cummins Intellectual Property, Inc. Eaton is a registered trademark of Eaton Corporation. Arvin Meritor</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Meritor Technology, Inc.</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Case is a registered trademark of Case Corporation. Komatsu</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Kabushiki Kaisha Komatsu Seisakusho Corporation Japan. The CIT Group</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CIT Group Holdings, Inc. JPMorgan Chase</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JP Morgan Chase &amp; Co. SAP</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SAP Aktiengesellschaft. International</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Navistar International Transportation Corp. Blue Bird</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is a registered trademark of Blue Bird Investment Corporation.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311" w:right="23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13" w:lineRule="exact"/>
        <w:rPr>
          <w:sz w:val="20"/>
          <w:szCs w:val="20"/>
          <w:color w:val="auto"/>
        </w:rPr>
      </w:pPr>
    </w:p>
    <w:p>
      <w:pPr>
        <w:ind w:right="600" w:firstLine="589"/>
        <w:spacing w:after="0" w:line="286" w:lineRule="auto"/>
        <w:rPr>
          <w:sz w:val="20"/>
          <w:szCs w:val="20"/>
          <w:color w:val="auto"/>
        </w:rPr>
      </w:pPr>
      <w:r>
        <w:rPr>
          <w:rFonts w:ascii="Arial" w:cs="Arial" w:eastAsia="Arial" w:hAnsi="Arial"/>
          <w:sz w:val="16"/>
          <w:szCs w:val="16"/>
          <w:color w:val="auto"/>
        </w:rPr>
        <w:t>References herein to “the Company,” “Rush Enterprises,” “Rush,” “we,” “our” or “us” mean Rush Enterprises, Inc., a Texas corporation, its subsidiaries and Associated Acceptance, Inc., the insurance agency affiliated with the Company, unless the context requires otherwise.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to Company Information</w:t>
      </w:r>
    </w:p>
    <w:p>
      <w:pPr>
        <w:spacing w:after="0" w:line="213" w:lineRule="exact"/>
        <w:rPr>
          <w:sz w:val="20"/>
          <w:szCs w:val="20"/>
          <w:color w:val="auto"/>
        </w:rPr>
      </w:pPr>
    </w:p>
    <w:p>
      <w:pPr>
        <w:jc w:val="both"/>
        <w:ind w:right="40" w:firstLine="589"/>
        <w:spacing w:after="0" w:line="271" w:lineRule="auto"/>
        <w:rPr>
          <w:sz w:val="20"/>
          <w:szCs w:val="20"/>
          <w:color w:val="auto"/>
        </w:rPr>
      </w:pPr>
      <w:r>
        <w:rPr>
          <w:rFonts w:ascii="Arial" w:cs="Arial" w:eastAsia="Arial" w:hAnsi="Arial"/>
          <w:sz w:val="16"/>
          <w:szCs w:val="16"/>
          <w:color w:val="auto"/>
        </w:rPr>
        <w:t>Rush electronically files annual reports, quarterly reports, and special reports with the SEC. You may read and copy any of the materials that we have filed with the SEC at the SEC’s Public Reference Room at 450 Fifth Street, NW, Washington, DC 20549. You may obtain information about the Public Reference Room by calling the SEC at 1-800-SEC-0330. Our filings are also available to you on the SEC’s website at www.sec.gov.</w:t>
      </w:r>
    </w:p>
    <w:p>
      <w:pPr>
        <w:spacing w:after="0" w:line="162" w:lineRule="exact"/>
        <w:rPr>
          <w:sz w:val="20"/>
          <w:szCs w:val="20"/>
          <w:color w:val="auto"/>
        </w:rPr>
      </w:pPr>
    </w:p>
    <w:p>
      <w:pPr>
        <w:ind w:right="120" w:firstLine="589"/>
        <w:spacing w:after="0" w:line="266" w:lineRule="auto"/>
        <w:rPr>
          <w:sz w:val="20"/>
          <w:szCs w:val="20"/>
          <w:color w:val="auto"/>
        </w:rPr>
      </w:pPr>
      <w:r>
        <w:rPr>
          <w:rFonts w:ascii="Arial" w:cs="Arial" w:eastAsia="Arial" w:hAnsi="Arial"/>
          <w:sz w:val="16"/>
          <w:szCs w:val="16"/>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3" w:lineRule="exact"/>
        <w:rPr>
          <w:sz w:val="20"/>
          <w:szCs w:val="20"/>
          <w:color w:val="auto"/>
        </w:rPr>
      </w:pPr>
    </w:p>
    <w:p>
      <w:pPr>
        <w:ind w:right="240" w:firstLine="589"/>
        <w:spacing w:after="0" w:line="271" w:lineRule="auto"/>
        <w:rPr>
          <w:sz w:val="20"/>
          <w:szCs w:val="20"/>
          <w:color w:val="auto"/>
        </w:rPr>
      </w:pPr>
      <w:r>
        <w:rPr>
          <w:rFonts w:ascii="Arial" w:cs="Arial" w:eastAsia="Arial" w:hAnsi="Arial"/>
          <w:sz w:val="16"/>
          <w:szCs w:val="16"/>
          <w:color w:val="auto"/>
        </w:rPr>
        <w:t>Rush Enterprises, Inc. was incorporated in Texas in 1965 and currently consists of two reportable segments: the Truck Segment and the Construction Equipment Segment. The Company conducts business through numerous subsidiaries, all of which it wholly owns, directly or indirectly. Its principal offices are located at 555 IH 35 South, New Braunfels, Texas 78130.</w:t>
      </w:r>
    </w:p>
    <w:p>
      <w:pPr>
        <w:spacing w:after="0" w:line="162" w:lineRule="exact"/>
        <w:rPr>
          <w:sz w:val="20"/>
          <w:szCs w:val="20"/>
          <w:color w:val="auto"/>
        </w:rPr>
      </w:pPr>
    </w:p>
    <w:p>
      <w:pPr>
        <w:ind w:firstLine="589"/>
        <w:spacing w:after="0" w:line="285" w:lineRule="auto"/>
        <w:rPr>
          <w:sz w:val="20"/>
          <w:szCs w:val="20"/>
          <w:color w:val="auto"/>
        </w:rPr>
      </w:pPr>
      <w:r>
        <w:rPr>
          <w:rFonts w:ascii="Arial" w:cs="Arial" w:eastAsia="Arial" w:hAnsi="Arial"/>
          <w:sz w:val="15"/>
          <w:szCs w:val="15"/>
          <w:color w:val="auto"/>
        </w:rPr>
        <w:t>The Company is a full-service, integrated retailer of premium transportation and construction equipment and related services. The Company’s Rush Truck Centers sell vehicles manufactured by Peterbilt Motors Company (a division of PACCAR, Inc.), International, Volvo, GMC, Hino, UD, Ford, Isuzu and Blue Bird. The Company also operates John Deere construction equipment dealerships at its Rush Equipment Centers in Southeast Texas. Through its strategically located network of Rush Truck Centers and its Rush Equipment Centers,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53" w:lineRule="exact"/>
        <w:rPr>
          <w:sz w:val="20"/>
          <w:szCs w:val="20"/>
          <w:color w:val="auto"/>
        </w:rPr>
      </w:pPr>
    </w:p>
    <w:p>
      <w:pPr>
        <w:ind w:right="140" w:firstLine="589"/>
        <w:spacing w:after="0" w:line="271" w:lineRule="auto"/>
        <w:rPr>
          <w:sz w:val="20"/>
          <w:szCs w:val="20"/>
          <w:color w:val="auto"/>
        </w:rPr>
      </w:pPr>
      <w:r>
        <w:rPr>
          <w:rFonts w:ascii="Arial" w:cs="Arial" w:eastAsia="Arial" w:hAnsi="Arial"/>
          <w:sz w:val="16"/>
          <w:szCs w:val="16"/>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62" w:lineRule="exact"/>
        <w:rPr>
          <w:sz w:val="20"/>
          <w:szCs w:val="20"/>
          <w:color w:val="auto"/>
        </w:rPr>
      </w:pPr>
    </w:p>
    <w:p>
      <w:pPr>
        <w:ind w:firstLine="589"/>
        <w:spacing w:after="0" w:line="327" w:lineRule="auto"/>
        <w:rPr>
          <w:sz w:val="20"/>
          <w:szCs w:val="20"/>
          <w:color w:val="auto"/>
        </w:rPr>
      </w:pPr>
      <w:r>
        <w:rPr>
          <w:rFonts w:ascii="Arial" w:cs="Arial" w:eastAsia="Arial" w:hAnsi="Arial"/>
          <w:sz w:val="14"/>
          <w:szCs w:val="14"/>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Centers as we extend our geographic focus through strategic acquisitions of new locations and expansions of our existing facilities and product lines.</w:t>
      </w:r>
    </w:p>
    <w:p>
      <w:pPr>
        <w:spacing w:after="0" w:line="127" w:lineRule="exact"/>
        <w:rPr>
          <w:sz w:val="20"/>
          <w:szCs w:val="20"/>
          <w:color w:val="auto"/>
        </w:rPr>
      </w:pPr>
    </w:p>
    <w:p>
      <w:pPr>
        <w:ind w:right="280" w:firstLine="589"/>
        <w:spacing w:after="0" w:line="286" w:lineRule="auto"/>
        <w:rPr>
          <w:sz w:val="20"/>
          <w:szCs w:val="20"/>
          <w:color w:val="auto"/>
        </w:rPr>
      </w:pPr>
      <w:r>
        <w:rPr>
          <w:rFonts w:ascii="Arial" w:cs="Arial" w:eastAsia="Arial" w:hAnsi="Arial"/>
          <w:sz w:val="16"/>
          <w:szCs w:val="16"/>
          <w:i w:val="1"/>
          <w:iCs w:val="1"/>
          <w:color w:val="auto"/>
        </w:rPr>
        <w:t xml:space="preserve">Rush Truck </w:t>
      </w:r>
      <w:r>
        <w:rPr>
          <w:rFonts w:ascii="Arial" w:cs="Arial" w:eastAsia="Arial" w:hAnsi="Arial"/>
          <w:sz w:val="16"/>
          <w:szCs w:val="16"/>
          <w:color w:val="auto"/>
        </w:rPr>
        <w:t>Centers</w:t>
      </w:r>
      <w:r>
        <w:rPr>
          <w:rFonts w:ascii="Arial" w:cs="Arial" w:eastAsia="Arial" w:hAnsi="Arial"/>
          <w:sz w:val="16"/>
          <w:szCs w:val="16"/>
          <w:i w:val="1"/>
          <w:iCs w:val="1"/>
          <w:color w:val="auto"/>
        </w:rPr>
        <w:t xml:space="preserve">. </w:t>
      </w:r>
      <w:r>
        <w:rPr>
          <w:rFonts w:ascii="Arial" w:cs="Arial" w:eastAsia="Arial" w:hAnsi="Arial"/>
          <w:sz w:val="16"/>
          <w:szCs w:val="16"/>
          <w:color w:val="auto"/>
        </w:rPr>
        <w:t>Our Rush Truck Centers are located in Alabama, Arizona, California, Colorado, Florida, Georgia, New Mexico, North Carolina, Oklahoma,</w:t>
      </w:r>
      <w:r>
        <w:rPr>
          <w:rFonts w:ascii="Arial" w:cs="Arial" w:eastAsia="Arial" w:hAnsi="Arial"/>
          <w:sz w:val="16"/>
          <w:szCs w:val="16"/>
          <w:i w:val="1"/>
          <w:iCs w:val="1"/>
          <w:color w:val="auto"/>
        </w:rPr>
        <w:t xml:space="preserve"> </w:t>
      </w:r>
      <w:r>
        <w:rPr>
          <w:rFonts w:ascii="Arial" w:cs="Arial" w:eastAsia="Arial" w:hAnsi="Arial"/>
          <w:sz w:val="16"/>
          <w:szCs w:val="16"/>
          <w:color w:val="auto"/>
        </w:rPr>
        <w:t>Tennessee and Texas. The following chart reflects our franchises and parts, service and body shop operations by location.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4"/>
          </w:tcPr>
          <w:p>
            <w:pPr>
              <w:spacing w:after="0"/>
              <w:rPr>
                <w:sz w:val="20"/>
                <w:szCs w:val="20"/>
                <w:color w:val="auto"/>
              </w:rPr>
            </w:pPr>
            <w:r>
              <w:rPr>
                <w:rFonts w:ascii="Arial" w:cs="Arial" w:eastAsia="Arial" w:hAnsi="Arial"/>
                <w:sz w:val="13"/>
                <w:szCs w:val="13"/>
                <w:b w:val="1"/>
                <w:bCs w:val="1"/>
                <w:color w:val="auto"/>
              </w:rPr>
              <w:t>Rush Truck Center</w:t>
            </w:r>
          </w:p>
        </w:tc>
        <w:tc>
          <w:tcPr>
            <w:tcW w:w="1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Heavy-Duty</w:t>
            </w:r>
          </w:p>
        </w:tc>
        <w:tc>
          <w:tcPr>
            <w:tcW w:w="4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Medium-Duty and Bus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Body</w:t>
            </w:r>
          </w:p>
        </w:tc>
      </w:tr>
      <w:tr>
        <w:trPr>
          <w:trHeight w:val="155"/>
        </w:trPr>
        <w:tc>
          <w:tcPr>
            <w:tcW w:w="2420" w:type="dxa"/>
            <w:vAlign w:val="bottom"/>
            <w:gridSpan w:val="4"/>
          </w:tcPr>
          <w:p>
            <w:pPr>
              <w:ind w:left="180"/>
              <w:spacing w:after="0"/>
              <w:rPr>
                <w:sz w:val="20"/>
                <w:szCs w:val="20"/>
                <w:color w:val="auto"/>
              </w:rPr>
            </w:pPr>
            <w:r>
              <w:rPr>
                <w:rFonts w:ascii="Arial" w:cs="Arial" w:eastAsia="Arial" w:hAnsi="Arial"/>
                <w:sz w:val="13"/>
                <w:szCs w:val="13"/>
                <w:b w:val="1"/>
                <w:bCs w:val="1"/>
                <w:color w:val="auto"/>
              </w:rPr>
              <w:t>Location</w:t>
            </w:r>
          </w:p>
        </w:tc>
        <w:tc>
          <w:tcPr>
            <w:tcW w:w="1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Franchise(s)</w:t>
            </w:r>
          </w:p>
        </w:tc>
        <w:tc>
          <w:tcPr>
            <w:tcW w:w="4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Franchise(s)</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Parts</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Service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Shop</w:t>
            </w:r>
          </w:p>
        </w:tc>
      </w:tr>
      <w:tr>
        <w:trPr>
          <w:trHeight w:val="189"/>
        </w:trPr>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159"/>
        </w:trPr>
        <w:tc>
          <w:tcPr>
            <w:tcW w:w="2420" w:type="dxa"/>
            <w:vAlign w:val="bottom"/>
            <w:gridSpan w:val="4"/>
            <w:shd w:val="clear" w:color="auto" w:fill="CCEEFF"/>
          </w:tcPr>
          <w:p>
            <w:pPr>
              <w:spacing w:after="0" w:line="160" w:lineRule="exact"/>
              <w:rPr>
                <w:sz w:val="20"/>
                <w:szCs w:val="20"/>
                <w:color w:val="auto"/>
              </w:rPr>
            </w:pPr>
            <w:r>
              <w:rPr>
                <w:rFonts w:ascii="Arial" w:cs="Arial" w:eastAsia="Arial" w:hAnsi="Arial"/>
                <w:sz w:val="16"/>
                <w:szCs w:val="16"/>
                <w:b w:val="1"/>
                <w:bCs w:val="1"/>
                <w:i w:val="1"/>
                <w:iCs w:val="1"/>
                <w:color w:val="auto"/>
              </w:rPr>
              <w:t>Alabama:</w:t>
            </w: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7"/>
        </w:trPr>
        <w:tc>
          <w:tcPr>
            <w:tcW w:w="5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CCEEFF"/>
            </w:tcBorders>
            <w:shd w:val="clear" w:color="auto" w:fill="000000"/>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Mobile</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59"/>
        </w:trPr>
        <w:tc>
          <w:tcPr>
            <w:tcW w:w="2420" w:type="dxa"/>
            <w:vAlign w:val="bottom"/>
            <w:gridSpan w:val="4"/>
          </w:tcPr>
          <w:p>
            <w:pPr>
              <w:spacing w:after="0" w:line="160" w:lineRule="exact"/>
              <w:rPr>
                <w:sz w:val="20"/>
                <w:szCs w:val="20"/>
                <w:color w:val="auto"/>
              </w:rPr>
            </w:pPr>
            <w:r>
              <w:rPr>
                <w:rFonts w:ascii="Arial" w:cs="Arial" w:eastAsia="Arial" w:hAnsi="Arial"/>
                <w:sz w:val="16"/>
                <w:szCs w:val="16"/>
                <w:b w:val="1"/>
                <w:bCs w:val="1"/>
                <w:i w:val="1"/>
                <w:iCs w:val="1"/>
                <w:color w:val="auto"/>
              </w:rPr>
              <w:t>Arizona:</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8"/>
        </w:trPr>
        <w:tc>
          <w:tcPr>
            <w:tcW w:w="5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Flagstaff</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None</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Phoenix</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Peterbilt, GMC, Hino</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Tucson</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Peterbilt, GMC, Hino</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59"/>
        </w:trPr>
        <w:tc>
          <w:tcPr>
            <w:tcW w:w="2420" w:type="dxa"/>
            <w:vAlign w:val="bottom"/>
            <w:gridSpan w:val="4"/>
            <w:shd w:val="clear" w:color="auto" w:fill="CCEEFF"/>
          </w:tcPr>
          <w:p>
            <w:pPr>
              <w:spacing w:after="0" w:line="160" w:lineRule="exact"/>
              <w:rPr>
                <w:sz w:val="20"/>
                <w:szCs w:val="20"/>
                <w:color w:val="auto"/>
              </w:rPr>
            </w:pPr>
            <w:r>
              <w:rPr>
                <w:rFonts w:ascii="Arial" w:cs="Arial" w:eastAsia="Arial" w:hAnsi="Arial"/>
                <w:sz w:val="16"/>
                <w:szCs w:val="16"/>
                <w:b w:val="1"/>
                <w:bCs w:val="1"/>
                <w:i w:val="1"/>
                <w:iCs w:val="1"/>
                <w:color w:val="auto"/>
              </w:rPr>
              <w:t>California:</w:t>
            </w: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7"/>
        </w:trPr>
        <w:tc>
          <w:tcPr>
            <w:tcW w:w="5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El Centro</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Escondido</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 Hino</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Fontana Heavy-Duty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Fontana Medium-Duty</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 GMC, Hino, Isuzu, UD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Pico Rivera</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 UD (parts only)</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San Diego</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Peterbilt, GMC, Hino</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San Luis Obispo</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Sylmar</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Peterbilt, UD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59"/>
        </w:trPr>
        <w:tc>
          <w:tcPr>
            <w:tcW w:w="2420" w:type="dxa"/>
            <w:vAlign w:val="bottom"/>
            <w:gridSpan w:val="4"/>
            <w:shd w:val="clear" w:color="auto" w:fill="CCEEFF"/>
          </w:tcPr>
          <w:p>
            <w:pPr>
              <w:spacing w:after="0" w:line="160" w:lineRule="exact"/>
              <w:rPr>
                <w:sz w:val="20"/>
                <w:szCs w:val="20"/>
                <w:color w:val="auto"/>
              </w:rPr>
            </w:pPr>
            <w:r>
              <w:rPr>
                <w:rFonts w:ascii="Arial" w:cs="Arial" w:eastAsia="Arial" w:hAnsi="Arial"/>
                <w:sz w:val="16"/>
                <w:szCs w:val="16"/>
                <w:b w:val="1"/>
                <w:bCs w:val="1"/>
                <w:i w:val="1"/>
                <w:iCs w:val="1"/>
                <w:color w:val="auto"/>
              </w:rPr>
              <w:t>Colorado:</w:t>
            </w: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7"/>
        </w:trPr>
        <w:tc>
          <w:tcPr>
            <w:tcW w:w="540" w:type="dxa"/>
            <w:vAlign w:val="bottom"/>
            <w:tcBorders>
              <w:right w:val="single" w:sz="8" w:color="auto"/>
            </w:tcBorders>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Denver Heavy-Duty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Denver Medium-Duty</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Ford, Isuzu</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Greeley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Pueblo</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59"/>
        </w:trPr>
        <w:tc>
          <w:tcPr>
            <w:tcW w:w="2420" w:type="dxa"/>
            <w:vAlign w:val="bottom"/>
            <w:gridSpan w:val="4"/>
            <w:shd w:val="clear" w:color="auto" w:fill="CCEEFF"/>
          </w:tcPr>
          <w:p>
            <w:pPr>
              <w:spacing w:after="0" w:line="160" w:lineRule="exact"/>
              <w:rPr>
                <w:sz w:val="20"/>
                <w:szCs w:val="20"/>
                <w:color w:val="auto"/>
              </w:rPr>
            </w:pPr>
            <w:r>
              <w:rPr>
                <w:rFonts w:ascii="Arial" w:cs="Arial" w:eastAsia="Arial" w:hAnsi="Arial"/>
                <w:sz w:val="16"/>
                <w:szCs w:val="16"/>
                <w:b w:val="1"/>
                <w:bCs w:val="1"/>
                <w:i w:val="1"/>
                <w:iCs w:val="1"/>
                <w:color w:val="auto"/>
              </w:rPr>
              <w:t>Florida:</w:t>
            </w: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37"/>
        </w:trPr>
        <w:tc>
          <w:tcPr>
            <w:tcW w:w="540" w:type="dxa"/>
            <w:vAlign w:val="bottom"/>
            <w:tcBorders>
              <w:right w:val="single" w:sz="8" w:color="CCEEFF"/>
            </w:tcBorders>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Haines City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Tampa</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tcPr>
          <w:p>
            <w:pPr>
              <w:ind w:left="180"/>
              <w:spacing w:after="0"/>
              <w:rPr>
                <w:sz w:val="20"/>
                <w:szCs w:val="20"/>
                <w:color w:val="auto"/>
              </w:rPr>
            </w:pPr>
            <w:r>
              <w:rPr>
                <w:rFonts w:ascii="Arial" w:cs="Arial" w:eastAsia="Arial" w:hAnsi="Arial"/>
                <w:sz w:val="16"/>
                <w:szCs w:val="16"/>
                <w:color w:val="auto"/>
              </w:rPr>
              <w:t>Winter Garden</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 GMC, Isuzu, UD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6"/>
        </w:trPr>
        <w:tc>
          <w:tcPr>
            <w:tcW w:w="24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Jacksonville</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 Hino</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4"/>
        </w:trPr>
        <w:tc>
          <w:tcPr>
            <w:tcW w:w="5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516"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i w:val="1"/>
          <w:iCs w:val="1"/>
          <w:u w:val="single" w:color="auto"/>
          <w:color w:val="auto"/>
        </w:rPr>
        <w:t>Georgia</w:t>
      </w:r>
      <w:r>
        <w:rPr>
          <w:rFonts w:ascii="Arial" w:cs="Arial" w:eastAsia="Arial" w:hAnsi="Arial"/>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04913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9135" cy="12446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Atlanta</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GMC, Hino, Isuzu, UD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r>
      <w:tr>
        <w:trPr>
          <w:trHeight w:val="159"/>
        </w:trPr>
        <w:tc>
          <w:tcPr>
            <w:tcW w:w="2420" w:type="dxa"/>
            <w:vAlign w:val="bottom"/>
            <w:gridSpan w:val="7"/>
          </w:tcPr>
          <w:p>
            <w:pPr>
              <w:spacing w:after="0" w:line="160" w:lineRule="exact"/>
              <w:rPr>
                <w:sz w:val="20"/>
                <w:szCs w:val="20"/>
                <w:color w:val="auto"/>
              </w:rPr>
            </w:pPr>
            <w:r>
              <w:rPr>
                <w:rFonts w:ascii="Arial" w:cs="Arial" w:eastAsia="Arial" w:hAnsi="Arial"/>
                <w:sz w:val="16"/>
                <w:szCs w:val="16"/>
                <w:b w:val="1"/>
                <w:bCs w:val="1"/>
                <w:i w:val="1"/>
                <w:iCs w:val="1"/>
                <w:color w:val="auto"/>
              </w:rPr>
              <w:t>New Mexico:</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8"/>
        </w:trPr>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5"/>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Albuquerque</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Peterbilt, UD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Las Cruces</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None</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r>
      <w:tr>
        <w:trPr>
          <w:trHeight w:val="168"/>
        </w:trPr>
        <w:tc>
          <w:tcPr>
            <w:tcW w:w="2420" w:type="dxa"/>
            <w:vAlign w:val="bottom"/>
            <w:gridSpan w:val="7"/>
          </w:tcPr>
          <w:p>
            <w:pPr>
              <w:spacing w:after="0" w:line="160" w:lineRule="exact"/>
              <w:rPr>
                <w:sz w:val="20"/>
                <w:szCs w:val="20"/>
                <w:color w:val="auto"/>
              </w:rPr>
            </w:pPr>
            <w:r>
              <w:rPr>
                <w:rFonts w:ascii="Arial" w:cs="Arial" w:eastAsia="Arial" w:hAnsi="Arial"/>
                <w:sz w:val="16"/>
                <w:szCs w:val="16"/>
                <w:b w:val="1"/>
                <w:bCs w:val="1"/>
                <w:i w:val="1"/>
                <w:iCs w:val="1"/>
                <w:color w:val="auto"/>
              </w:rPr>
              <w:t>North Carolina:</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05"/>
        </w:trPr>
        <w:tc>
          <w:tcPr>
            <w:tcW w:w="104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6"/>
                <w:szCs w:val="16"/>
                <w:color w:val="auto"/>
              </w:rPr>
              <w:t>Charlotte</w:t>
            </w:r>
          </w:p>
        </w:tc>
        <w:tc>
          <w:tcPr>
            <w:tcW w:w="1380" w:type="dxa"/>
            <w:vAlign w:val="bottom"/>
            <w:gridSpan w:val="3"/>
            <w:shd w:val="clear" w:color="auto" w:fill="CCEEFF"/>
          </w:tcPr>
          <w:p>
            <w:pPr>
              <w:spacing w:after="0"/>
              <w:rPr>
                <w:sz w:val="17"/>
                <w:szCs w:val="17"/>
                <w:color w:val="auto"/>
              </w:rPr>
            </w:pP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Peterbilt, Hino, Isuzu</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Charlotte</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International</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International</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r>
      <w:tr>
        <w:trPr>
          <w:trHeight w:val="159"/>
        </w:trPr>
        <w:tc>
          <w:tcPr>
            <w:tcW w:w="2420" w:type="dxa"/>
            <w:vAlign w:val="bottom"/>
            <w:gridSpan w:val="7"/>
          </w:tcPr>
          <w:p>
            <w:pPr>
              <w:spacing w:after="0" w:line="160" w:lineRule="exact"/>
              <w:rPr>
                <w:sz w:val="20"/>
                <w:szCs w:val="20"/>
                <w:color w:val="auto"/>
              </w:rPr>
            </w:pPr>
            <w:r>
              <w:rPr>
                <w:rFonts w:ascii="Arial" w:cs="Arial" w:eastAsia="Arial" w:hAnsi="Arial"/>
                <w:sz w:val="16"/>
                <w:szCs w:val="16"/>
                <w:b w:val="1"/>
                <w:bCs w:val="1"/>
                <w:i w:val="1"/>
                <w:iCs w:val="1"/>
                <w:color w:val="auto"/>
              </w:rPr>
              <w:t>Oklahoma:</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8"/>
        </w:trPr>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5"/>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Ardmore</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Oklahoma City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Peterbilt, GMC, Hino</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Tulsa</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4"/>
              </w:rPr>
              <w:t>Peterbilt, Volvo</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Peterbilt, GMC, Hino</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59"/>
        </w:trPr>
        <w:tc>
          <w:tcPr>
            <w:tcW w:w="2420" w:type="dxa"/>
            <w:vAlign w:val="bottom"/>
            <w:gridSpan w:val="7"/>
            <w:shd w:val="clear" w:color="auto" w:fill="CCEEFF"/>
          </w:tcPr>
          <w:p>
            <w:pPr>
              <w:spacing w:after="0" w:line="160" w:lineRule="exact"/>
              <w:rPr>
                <w:sz w:val="20"/>
                <w:szCs w:val="20"/>
                <w:color w:val="auto"/>
              </w:rPr>
            </w:pPr>
            <w:r>
              <w:rPr>
                <w:rFonts w:ascii="Arial" w:cs="Arial" w:eastAsia="Arial" w:hAnsi="Arial"/>
                <w:sz w:val="16"/>
                <w:szCs w:val="16"/>
                <w:b w:val="1"/>
                <w:bCs w:val="1"/>
                <w:i w:val="1"/>
                <w:iCs w:val="1"/>
                <w:color w:val="auto"/>
              </w:rPr>
              <w:t>Tennessee:</w:t>
            </w: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tcPr>
          <w:p>
            <w:pPr>
              <w:spacing w:after="0"/>
              <w:rPr>
                <w:sz w:val="13"/>
                <w:szCs w:val="13"/>
                <w:color w:val="auto"/>
              </w:rPr>
            </w:pPr>
          </w:p>
        </w:tc>
      </w:tr>
      <w:tr>
        <w:trPr>
          <w:trHeight w:val="37"/>
        </w:trPr>
        <w:tc>
          <w:tcPr>
            <w:tcW w:w="400" w:type="dxa"/>
            <w:vAlign w:val="bottom"/>
            <w:shd w:val="clear" w:color="auto" w:fill="000000"/>
          </w:tcPr>
          <w:p>
            <w:pPr>
              <w:spacing w:after="0"/>
              <w:rPr>
                <w:sz w:val="3"/>
                <w:szCs w:val="3"/>
                <w:color w:val="auto"/>
              </w:rPr>
            </w:pPr>
          </w:p>
        </w:tc>
        <w:tc>
          <w:tcPr>
            <w:tcW w:w="320" w:type="dxa"/>
            <w:vAlign w:val="bottom"/>
            <w:tcBorders>
              <w:right w:val="single" w:sz="8" w:color="CCEEFF"/>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60" w:type="dxa"/>
            <w:vAlign w:val="bottom"/>
          </w:tcPr>
          <w:p>
            <w:pPr>
              <w:spacing w:after="0"/>
              <w:rPr>
                <w:sz w:val="3"/>
                <w:szCs w:val="3"/>
                <w:color w:val="auto"/>
              </w:rPr>
            </w:pPr>
          </w:p>
        </w:tc>
      </w:tr>
      <w:tr>
        <w:trPr>
          <w:trHeight w:val="208"/>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Nashville</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8"/>
                <w:szCs w:val="18"/>
                <w:color w:val="auto"/>
              </w:rPr>
            </w:pPr>
          </w:p>
        </w:tc>
      </w:tr>
      <w:tr>
        <w:trPr>
          <w:trHeight w:val="380"/>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jc w:val="right"/>
              <w:ind w:right="229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20"/>
        </w:trPr>
        <w:tc>
          <w:tcPr>
            <w:tcW w:w="40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10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50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398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68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720" w:type="dxa"/>
            <w:vAlign w:val="bottom"/>
            <w:tcBorders>
              <w:bottom w:val="single" w:sz="8" w:color="010101"/>
            </w:tcBorders>
          </w:tcPr>
          <w:p>
            <w:pPr>
              <w:spacing w:after="0"/>
              <w:rPr>
                <w:sz w:val="10"/>
                <w:szCs w:val="10"/>
                <w:color w:val="auto"/>
              </w:rPr>
            </w:pPr>
          </w:p>
        </w:tc>
        <w:tc>
          <w:tcPr>
            <w:tcW w:w="360" w:type="dxa"/>
            <w:vAlign w:val="bottom"/>
            <w:tcBorders>
              <w:bottom w:val="single" w:sz="8" w:color="010101"/>
            </w:tcBorders>
          </w:tcPr>
          <w:p>
            <w:pPr>
              <w:spacing w:after="0"/>
              <w:rPr>
                <w:sz w:val="10"/>
                <w:szCs w:val="10"/>
                <w:color w:val="auto"/>
              </w:rPr>
            </w:pPr>
          </w:p>
        </w:tc>
      </w:tr>
      <w:tr>
        <w:trPr>
          <w:trHeight w:val="671"/>
        </w:trPr>
        <w:tc>
          <w:tcPr>
            <w:tcW w:w="116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126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73"/>
        </w:trPr>
        <w:tc>
          <w:tcPr>
            <w:tcW w:w="2420" w:type="dxa"/>
            <w:vAlign w:val="bottom"/>
            <w:gridSpan w:val="7"/>
          </w:tcPr>
          <w:p>
            <w:pPr>
              <w:spacing w:after="0"/>
              <w:rPr>
                <w:sz w:val="20"/>
                <w:szCs w:val="20"/>
                <w:color w:val="auto"/>
              </w:rPr>
            </w:pPr>
            <w:r>
              <w:rPr>
                <w:rFonts w:ascii="Arial" w:cs="Arial" w:eastAsia="Arial" w:hAnsi="Arial"/>
                <w:sz w:val="13"/>
                <w:szCs w:val="13"/>
                <w:b w:val="1"/>
                <w:bCs w:val="1"/>
                <w:color w:val="auto"/>
              </w:rPr>
              <w:t>Rush Truck Center</w:t>
            </w:r>
          </w:p>
        </w:tc>
        <w:tc>
          <w:tcPr>
            <w:tcW w:w="1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Heavy-Duty</w:t>
            </w:r>
          </w:p>
        </w:tc>
        <w:tc>
          <w:tcPr>
            <w:tcW w:w="4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Medium-Duty and Bus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Body</w:t>
            </w:r>
          </w:p>
        </w:tc>
        <w:tc>
          <w:tcPr>
            <w:tcW w:w="360" w:type="dxa"/>
            <w:vAlign w:val="bottom"/>
          </w:tcPr>
          <w:p>
            <w:pPr>
              <w:spacing w:after="0"/>
              <w:rPr>
                <w:sz w:val="24"/>
                <w:szCs w:val="24"/>
                <w:color w:val="auto"/>
              </w:rPr>
            </w:pPr>
          </w:p>
        </w:tc>
      </w:tr>
      <w:tr>
        <w:trPr>
          <w:trHeight w:val="155"/>
        </w:trPr>
        <w:tc>
          <w:tcPr>
            <w:tcW w:w="2420" w:type="dxa"/>
            <w:vAlign w:val="bottom"/>
            <w:gridSpan w:val="7"/>
          </w:tcPr>
          <w:p>
            <w:pPr>
              <w:ind w:left="180"/>
              <w:spacing w:after="0"/>
              <w:rPr>
                <w:sz w:val="20"/>
                <w:szCs w:val="20"/>
                <w:color w:val="auto"/>
              </w:rPr>
            </w:pPr>
            <w:r>
              <w:rPr>
                <w:rFonts w:ascii="Arial" w:cs="Arial" w:eastAsia="Arial" w:hAnsi="Arial"/>
                <w:sz w:val="13"/>
                <w:szCs w:val="13"/>
                <w:b w:val="1"/>
                <w:bCs w:val="1"/>
                <w:color w:val="auto"/>
              </w:rPr>
              <w:t>Location</w:t>
            </w:r>
          </w:p>
        </w:tc>
        <w:tc>
          <w:tcPr>
            <w:tcW w:w="1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Franchise(s)</w:t>
            </w:r>
          </w:p>
        </w:tc>
        <w:tc>
          <w:tcPr>
            <w:tcW w:w="4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Franchise(s)</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Parts</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Service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6"/>
              </w:rPr>
              <w:t>Shop</w:t>
            </w:r>
          </w:p>
        </w:tc>
        <w:tc>
          <w:tcPr>
            <w:tcW w:w="360" w:type="dxa"/>
            <w:vAlign w:val="bottom"/>
          </w:tcPr>
          <w:p>
            <w:pPr>
              <w:spacing w:after="0"/>
              <w:rPr>
                <w:sz w:val="13"/>
                <w:szCs w:val="13"/>
                <w:color w:val="auto"/>
              </w:rPr>
            </w:pPr>
          </w:p>
        </w:tc>
      </w:tr>
      <w:tr>
        <w:trPr>
          <w:trHeight w:val="127"/>
        </w:trPr>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r>
      <w:tr>
        <w:trPr>
          <w:trHeight w:val="159"/>
        </w:trPr>
        <w:tc>
          <w:tcPr>
            <w:tcW w:w="2420" w:type="dxa"/>
            <w:vAlign w:val="bottom"/>
            <w:gridSpan w:val="7"/>
            <w:shd w:val="clear" w:color="auto" w:fill="CCEEFF"/>
          </w:tcPr>
          <w:p>
            <w:pPr>
              <w:spacing w:after="0" w:line="160" w:lineRule="exact"/>
              <w:rPr>
                <w:sz w:val="20"/>
                <w:szCs w:val="20"/>
                <w:color w:val="auto"/>
              </w:rPr>
            </w:pPr>
            <w:r>
              <w:rPr>
                <w:rFonts w:ascii="Arial" w:cs="Arial" w:eastAsia="Arial" w:hAnsi="Arial"/>
                <w:sz w:val="16"/>
                <w:szCs w:val="16"/>
                <w:b w:val="1"/>
                <w:bCs w:val="1"/>
                <w:i w:val="1"/>
                <w:iCs w:val="1"/>
                <w:color w:val="auto"/>
              </w:rPr>
              <w:t>Texas:</w:t>
            </w: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tcPr>
          <w:p>
            <w:pPr>
              <w:spacing w:after="0"/>
              <w:rPr>
                <w:sz w:val="13"/>
                <w:szCs w:val="13"/>
                <w:color w:val="auto"/>
              </w:rPr>
            </w:pPr>
          </w:p>
        </w:tc>
      </w:tr>
      <w:tr>
        <w:trPr>
          <w:trHeight w:val="37"/>
        </w:trPr>
        <w:tc>
          <w:tcPr>
            <w:tcW w:w="400" w:type="dxa"/>
            <w:vAlign w:val="bottom"/>
            <w:shd w:val="clear" w:color="auto" w:fill="000000"/>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60" w:type="dxa"/>
            <w:vAlign w:val="bottom"/>
          </w:tcPr>
          <w:p>
            <w:pPr>
              <w:spacing w:after="0"/>
              <w:rPr>
                <w:sz w:val="3"/>
                <w:szCs w:val="3"/>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Abilene</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Peterbilt</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Alice</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Peterbilt,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Austin</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Peterbilt, GMC, Hino, Isuzu, UD,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Dallas Heavy-Duty</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Peterbilt,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Dallas Medium-Duty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None</w:t>
            </w:r>
          </w:p>
        </w:tc>
        <w:tc>
          <w:tcPr>
            <w:tcW w:w="422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Peterbilt, GMC, Hino, UD,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El Paso</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Peterbilt, GMC, Hino (service only)</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Fort Worth</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Peterbilt, UD,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Houston</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7"/>
              </w:rPr>
              <w:t>Peterbilt, GMC, Hino,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Laredo</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Peterbilt,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Lufkin</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Peterbilt,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Pharr</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Peterbilt, Hino, UD,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San Antonio</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7"/>
              </w:rPr>
              <w:t>Peterbilt, GMC, Hino,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Sealy</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Peterbilt,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Texarkana</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Peterbilt, GMC, Hino, Isuzu,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tcPr>
          <w:p>
            <w:pPr>
              <w:ind w:left="180"/>
              <w:spacing w:after="0"/>
              <w:rPr>
                <w:sz w:val="20"/>
                <w:szCs w:val="20"/>
                <w:color w:val="auto"/>
              </w:rPr>
            </w:pPr>
            <w:r>
              <w:rPr>
                <w:rFonts w:ascii="Arial" w:cs="Arial" w:eastAsia="Arial" w:hAnsi="Arial"/>
                <w:sz w:val="16"/>
                <w:szCs w:val="16"/>
                <w:color w:val="auto"/>
              </w:rPr>
              <w:t>Tyler</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Peterbilt, Blue Bird</w:t>
            </w: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r>
        <w:trPr>
          <w:trHeight w:val="196"/>
        </w:trPr>
        <w:tc>
          <w:tcPr>
            <w:tcW w:w="242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Waco</w:t>
            </w: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Peterbilt</w:t>
            </w:r>
          </w:p>
        </w:tc>
        <w:tc>
          <w:tcPr>
            <w:tcW w:w="4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Peterbilt, GMC, Hino, Isuzu, Blue Bird</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Yes</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c>
          <w:tcPr>
            <w:tcW w:w="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-3140710</wp:posOffset>
            </wp:positionV>
            <wp:extent cx="1270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-3140710</wp:posOffset>
            </wp:positionV>
            <wp:extent cx="1270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64" w:lineRule="exact"/>
        <w:rPr>
          <w:sz w:val="20"/>
          <w:szCs w:val="20"/>
          <w:color w:val="auto"/>
        </w:rPr>
      </w:pPr>
    </w:p>
    <w:p>
      <w:pPr>
        <w:ind w:right="420" w:firstLine="589"/>
        <w:spacing w:after="0" w:line="286" w:lineRule="auto"/>
        <w:rPr>
          <w:sz w:val="20"/>
          <w:szCs w:val="20"/>
          <w:color w:val="auto"/>
        </w:rPr>
      </w:pPr>
      <w:r>
        <w:rPr>
          <w:rFonts w:ascii="Arial" w:cs="Arial" w:eastAsia="Arial" w:hAnsi="Arial"/>
          <w:sz w:val="16"/>
          <w:szCs w:val="16"/>
          <w:i w:val="1"/>
          <w:iCs w:val="1"/>
          <w:color w:val="auto"/>
        </w:rPr>
        <w:t xml:space="preserve">Rush Equipment Center. </w:t>
      </w:r>
      <w:r>
        <w:rPr>
          <w:rFonts w:ascii="Arial" w:cs="Arial" w:eastAsia="Arial" w:hAnsi="Arial"/>
          <w:sz w:val="16"/>
          <w:szCs w:val="16"/>
          <w:color w:val="auto"/>
        </w:rPr>
        <w:t>Our Rush Equipment Centers in Southeast Texas, provide a full line of John Deere construction equipment, including backhoe loaders,</w:t>
      </w:r>
      <w:r>
        <w:rPr>
          <w:rFonts w:ascii="Arial" w:cs="Arial" w:eastAsia="Arial" w:hAnsi="Arial"/>
          <w:sz w:val="16"/>
          <w:szCs w:val="16"/>
          <w:i w:val="1"/>
          <w:iCs w:val="1"/>
          <w:color w:val="auto"/>
        </w:rPr>
        <w:t xml:space="preserve"> </w:t>
      </w:r>
      <w:r>
        <w:rPr>
          <w:rFonts w:ascii="Arial" w:cs="Arial" w:eastAsia="Arial" w:hAnsi="Arial"/>
          <w:sz w:val="16"/>
          <w:szCs w:val="16"/>
          <w:color w:val="auto"/>
        </w:rPr>
        <w:t>hydraulic excavators, crawler-dozers and four-wheel drive loaders.</w:t>
      </w:r>
    </w:p>
    <w:p>
      <w:pPr>
        <w:spacing w:after="0" w:line="150" w:lineRule="exact"/>
        <w:rPr>
          <w:sz w:val="20"/>
          <w:szCs w:val="20"/>
          <w:color w:val="auto"/>
        </w:rPr>
      </w:pPr>
    </w:p>
    <w:p>
      <w:pPr>
        <w:ind w:right="220" w:firstLine="589"/>
        <w:spacing w:after="0" w:line="271"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three stand-alone Rush Truck Leasing stores, we provide a broad line of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selections for lease or rent, including Class 4, Class 5, Class 6, Class 7 and Class 8 trucks, heavy-duty cranes and refuse haulers. Our lease and rental fleets are offered on a daily, monthly or long-term basis.</w:t>
      </w:r>
    </w:p>
    <w:p>
      <w:pPr>
        <w:spacing w:after="0" w:line="162"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i w:val="1"/>
          <w:iCs w:val="1"/>
          <w:color w:val="auto"/>
        </w:rPr>
        <w:t xml:space="preserve">Financial and Insurance Products. </w:t>
      </w:r>
      <w:r>
        <w:rPr>
          <w:rFonts w:ascii="Arial" w:cs="Arial" w:eastAsia="Arial" w:hAnsi="Arial"/>
          <w:sz w:val="16"/>
          <w:szCs w:val="16"/>
          <w:color w:val="auto"/>
        </w:rPr>
        <w:t>At our dealerships we offer third-party financing to assist customers in purchasing new and used trucks and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Additionally, we sell, as agent, a complete line of property and casualty insurance, including collision and liability insurance on trucks, cargo insurance and credit life insurance.</w:t>
      </w:r>
    </w:p>
    <w:p>
      <w:pPr>
        <w:spacing w:after="0" w:line="162" w:lineRule="exact"/>
        <w:rPr>
          <w:sz w:val="20"/>
          <w:szCs w:val="20"/>
          <w:color w:val="auto"/>
        </w:rPr>
      </w:pPr>
    </w:p>
    <w:p>
      <w:pPr>
        <w:jc w:val="both"/>
        <w:ind w:right="60" w:firstLine="589"/>
        <w:spacing w:after="0" w:line="297" w:lineRule="auto"/>
        <w:rPr>
          <w:sz w:val="20"/>
          <w:szCs w:val="20"/>
          <w:color w:val="auto"/>
        </w:rPr>
      </w:pPr>
      <w:r>
        <w:rPr>
          <w:rFonts w:ascii="Arial" w:cs="Arial" w:eastAsia="Arial" w:hAnsi="Arial"/>
          <w:sz w:val="15"/>
          <w:szCs w:val="15"/>
          <w:i w:val="1"/>
          <w:iCs w:val="1"/>
          <w:color w:val="auto"/>
        </w:rPr>
        <w:t xml:space="preserve">Perfection Equipment. </w:t>
      </w:r>
      <w:r>
        <w:rPr>
          <w:rFonts w:ascii="Arial" w:cs="Arial" w:eastAsia="Arial" w:hAnsi="Arial"/>
          <w:sz w:val="15"/>
          <w:szCs w:val="15"/>
          <w:color w:val="auto"/>
        </w:rPr>
        <w:t>Our Perfection Equipment subsidiary operates out of two locations in Oklahoma City. Perfection Equipment offers installation of equipment,</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repair, parts installation, and paint and body repair to owners of commercial vehicles. Perfection Equipment carries over 120 lines of truck and industrial parts and over 100 lines of equipment. Perfection Equipment specializes in up-fitting a variety of trucks used by oilfield service providers and other specialized service providers.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World Wide Tires</w:t>
      </w:r>
      <w:r>
        <w:rPr>
          <w:rFonts w:ascii="Arial" w:cs="Arial" w:eastAsia="Arial" w:hAnsi="Arial"/>
          <w:sz w:val="16"/>
          <w:szCs w:val="16"/>
          <w:color w:val="auto"/>
        </w:rPr>
        <w:t>. We operate World Wide Tires stores in four locations in Texas. World Wide Tires primarily sells tires for use on Class 8 trucks.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w:t>
      </w:r>
    </w:p>
    <w:p>
      <w:pPr>
        <w:spacing w:after="0" w:line="213" w:lineRule="exact"/>
        <w:rPr>
          <w:sz w:val="20"/>
          <w:szCs w:val="20"/>
          <w:color w:val="auto"/>
        </w:rPr>
      </w:pPr>
    </w:p>
    <w:p>
      <w:pPr>
        <w:ind w:right="160" w:firstLine="589"/>
        <w:spacing w:after="0" w:line="286" w:lineRule="auto"/>
        <w:rPr>
          <w:sz w:val="20"/>
          <w:szCs w:val="20"/>
          <w:color w:val="auto"/>
        </w:rPr>
      </w:pPr>
      <w:r>
        <w:rPr>
          <w:rFonts w:ascii="Arial" w:cs="Arial" w:eastAsia="Arial" w:hAnsi="Arial"/>
          <w:sz w:val="16"/>
          <w:szCs w:val="16"/>
          <w:color w:val="auto"/>
        </w:rPr>
        <w:t>See Part II, Item 7, “Management’s Discussion and Analysis of Financial Condition and Results of Operations — Industry” for a description of our industry and the markets in which we operate.</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Strategy</w:t>
      </w:r>
    </w:p>
    <w:p>
      <w:pPr>
        <w:spacing w:after="0" w:line="213" w:lineRule="exact"/>
        <w:rPr>
          <w:sz w:val="20"/>
          <w:szCs w:val="20"/>
          <w:color w:val="auto"/>
        </w:rPr>
      </w:pPr>
    </w:p>
    <w:p>
      <w:pPr>
        <w:ind w:right="40" w:firstLine="589"/>
        <w:spacing w:after="0" w:line="362" w:lineRule="auto"/>
        <w:rPr>
          <w:sz w:val="20"/>
          <w:szCs w:val="20"/>
          <w:color w:val="auto"/>
        </w:rPr>
      </w:pPr>
      <w:r>
        <w:rPr>
          <w:rFonts w:ascii="Arial" w:cs="Arial" w:eastAsia="Arial" w:hAnsi="Arial"/>
          <w:sz w:val="14"/>
          <w:szCs w:val="14"/>
          <w:i w:val="1"/>
          <w:iCs w:val="1"/>
          <w:color w:val="auto"/>
        </w:rPr>
        <w:t xml:space="preserve">Operating Strategy. </w:t>
      </w:r>
      <w:r>
        <w:rPr>
          <w:rFonts w:ascii="Arial" w:cs="Arial" w:eastAsia="Arial" w:hAnsi="Arial"/>
          <w:sz w:val="14"/>
          <w:szCs w:val="14"/>
          <w:color w:val="auto"/>
        </w:rPr>
        <w:t>Our strategy is to operate an integrated dealer network that primarily markets Peterbilt heavy-duty trucks, medium-duty trucks from various</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manufacturers, Blue Bird buses and John Deere construction equipment and provides complementary products and services. Our strategy includes the following key elements:</w:t>
      </w:r>
    </w:p>
    <w:p>
      <w:pPr>
        <w:spacing w:after="0" w:line="103" w:lineRule="exact"/>
        <w:rPr>
          <w:sz w:val="20"/>
          <w:szCs w:val="20"/>
          <w:color w:val="auto"/>
        </w:rPr>
      </w:pPr>
    </w:p>
    <w:p>
      <w:pPr>
        <w:ind w:left="880" w:right="140" w:hanging="293"/>
        <w:spacing w:after="0" w:line="327" w:lineRule="auto"/>
        <w:tabs>
          <w:tab w:leader="none" w:pos="847" w:val="left"/>
        </w:tabs>
        <w:numPr>
          <w:ilvl w:val="0"/>
          <w:numId w:val="1"/>
        </w:numPr>
        <w:rPr>
          <w:rFonts w:ascii="Arial" w:cs="Arial" w:eastAsia="Arial" w:hAnsi="Arial"/>
          <w:sz w:val="14"/>
          <w:szCs w:val="14"/>
          <w:color w:val="auto"/>
        </w:rPr>
      </w:pPr>
      <w:r>
        <w:rPr>
          <w:rFonts w:ascii="Arial" w:cs="Arial" w:eastAsia="Arial" w:hAnsi="Arial"/>
          <w:sz w:val="14"/>
          <w:szCs w:val="14"/>
          <w:u w:val="single" w:color="auto"/>
          <w:color w:val="auto"/>
        </w:rPr>
        <w:t>One-Stop Centers</w:t>
      </w:r>
      <w:r>
        <w:rPr>
          <w:rFonts w:ascii="Arial" w:cs="Arial" w:eastAsia="Arial" w:hAnsi="Arial"/>
          <w:sz w:val="14"/>
          <w:szCs w:val="14"/>
          <w:color w:val="auto"/>
        </w:rPr>
        <w:t>. We have developed our truck and construction equipment dealerships as “one-stop centers” where, at one convenient location, our customers can do the following: purchase new and used trucks, buses or construction equipment; finance, lease or rent trucks or construction equipment; purchase aftermarket parts and accessories; and have service performed by certified technicians. We believe that this full-service strategy also helps to mitigate cyclical</w:t>
      </w:r>
    </w:p>
    <w:p>
      <w:pPr>
        <w:sectPr>
          <w:pgSz w:w="11900" w:h="16838" w:orient="portrait"/>
          <w:cols w:equalWidth="0" w:num="1">
            <w:col w:w="11460"/>
          </w:cols>
          <w:pgMar w:left="240" w:top="127" w:right="199" w:bottom="0" w:gutter="0" w:footer="0" w:header="0"/>
        </w:sectPr>
      </w:pPr>
    </w:p>
    <w:bookmarkStart w:id="4" w:name="page5"/>
    <w:bookmarkEnd w:id="4"/>
    <w:p>
      <w:pPr>
        <w:spacing w:after="0" w:line="63" w:lineRule="exact"/>
        <w:rPr>
          <w:sz w:val="20"/>
          <w:szCs w:val="20"/>
          <w:color w:val="auto"/>
        </w:rPr>
      </w:pPr>
    </w:p>
    <w:p>
      <w:pPr>
        <w:ind w:left="880" w:right="440"/>
        <w:spacing w:after="0" w:line="286" w:lineRule="auto"/>
        <w:rPr>
          <w:sz w:val="20"/>
          <w:szCs w:val="20"/>
          <w:color w:val="auto"/>
        </w:rPr>
      </w:pPr>
      <w:r>
        <w:rPr>
          <w:rFonts w:ascii="Arial" w:cs="Arial" w:eastAsia="Arial" w:hAnsi="Arial"/>
          <w:sz w:val="16"/>
          <w:szCs w:val="16"/>
          <w:color w:val="auto"/>
        </w:rPr>
        <w:t>economic fluctuations because the parts and service sales at our dealerships generally tend to be less volatile than our new and used truck and construction equipment sales.</w:t>
      </w:r>
    </w:p>
    <w:p>
      <w:pPr>
        <w:spacing w:after="0" w:line="150" w:lineRule="exact"/>
        <w:rPr>
          <w:sz w:val="20"/>
          <w:szCs w:val="20"/>
          <w:color w:val="auto"/>
        </w:rPr>
      </w:pPr>
    </w:p>
    <w:p>
      <w:pPr>
        <w:ind w:left="880" w:right="200" w:hanging="293"/>
        <w:spacing w:after="0" w:line="362" w:lineRule="auto"/>
        <w:tabs>
          <w:tab w:leader="none" w:pos="847"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Branding Program</w:t>
      </w:r>
      <w:r>
        <w:rPr>
          <w:rFonts w:ascii="Arial" w:cs="Arial" w:eastAsia="Arial" w:hAnsi="Arial"/>
          <w:sz w:val="14"/>
          <w:szCs w:val="14"/>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03" w:lineRule="exact"/>
        <w:rPr>
          <w:rFonts w:ascii="Arial" w:cs="Arial" w:eastAsia="Arial" w:hAnsi="Arial"/>
          <w:sz w:val="14"/>
          <w:szCs w:val="14"/>
          <w:color w:val="auto"/>
        </w:rPr>
      </w:pPr>
    </w:p>
    <w:p>
      <w:pPr>
        <w:ind w:left="880" w:right="180" w:hanging="293"/>
        <w:spacing w:after="0" w:line="289" w:lineRule="auto"/>
        <w:tabs>
          <w:tab w:leader="none" w:pos="847"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Management by Dealership Units</w:t>
      </w:r>
      <w:r>
        <w:rPr>
          <w:rFonts w:ascii="Arial" w:cs="Arial" w:eastAsia="Arial" w:hAnsi="Arial"/>
          <w:sz w:val="15"/>
          <w:szCs w:val="15"/>
          <w:color w:val="auto"/>
        </w:rPr>
        <w:t>. At each of our dealerships, we operate one or more of the following business units: new sales, used sales, financial services, parts, service or body shop. Our general managers measure and manage the operations of each of our dealerships according to the specific business units operating at that location. We believe that this system enhances the profitability of all aspects of a dealership and increases our overall operating margins. Operating goals for each business unit at each of our dealerships are established annually and managers are rewarded for performance.</w:t>
      </w:r>
    </w:p>
    <w:p>
      <w:pPr>
        <w:spacing w:after="0" w:line="150" w:lineRule="exact"/>
        <w:rPr>
          <w:rFonts w:ascii="Arial" w:cs="Arial" w:eastAsia="Arial" w:hAnsi="Arial"/>
          <w:sz w:val="15"/>
          <w:szCs w:val="15"/>
          <w:color w:val="auto"/>
        </w:rPr>
      </w:pPr>
    </w:p>
    <w:p>
      <w:pPr>
        <w:ind w:left="880" w:right="80" w:hanging="293"/>
        <w:spacing w:after="0" w:line="282" w:lineRule="auto"/>
        <w:tabs>
          <w:tab w:leader="none" w:pos="847"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Integrated Management Information Systems</w:t>
      </w:r>
      <w:r>
        <w:rPr>
          <w:rFonts w:ascii="Arial" w:cs="Arial" w:eastAsia="Arial" w:hAnsi="Arial"/>
          <w:sz w:val="15"/>
          <w:szCs w:val="15"/>
          <w:color w:val="auto"/>
        </w:rPr>
        <w:t>. In order to efficiently operate separate business units within each dealership, we rely upon our management information systems to determine and monitor appropriate inventory levels and product mix at each Rush Truck Center. Each Rush Truck Center can access a centralized real-time inventory tracking system that is accessible simultaneously by all locations. Our parts reordering system assists each Rush Truck Center in maintaining the proper inventory levels and typically permits inventory delivery to each location, or directly to customers, within 24 hours from the time the order is placed. In addition, by actively monitoring market conditions, assessing product and expansion strategies and remaining abreast of changes within the market, we are able to proactively address market-by-market changes by realigning and, if necessary, adding product lines and models.</w:t>
      </w:r>
    </w:p>
    <w:p>
      <w:pPr>
        <w:spacing w:after="0" w:line="158"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i w:val="1"/>
          <w:iCs w:val="1"/>
          <w:color w:val="auto"/>
        </w:rPr>
        <w:t xml:space="preserve">Growth Strategy. </w:t>
      </w:r>
      <w:r>
        <w:rPr>
          <w:rFonts w:ascii="Arial" w:cs="Arial" w:eastAsia="Arial" w:hAnsi="Arial"/>
          <w:sz w:val="16"/>
          <w:szCs w:val="16"/>
          <w:color w:val="auto"/>
        </w:rPr>
        <w:t>Through our expansion and acquisition initiatives, we have grown to operate a large, multistate, full-service network of truck dealerships.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we intend to continue to grow our business internally and through acquisitions by expanding into new geographic areas, expanding our product offerings and opening new one-stop truck and equipment centers in existing markets.</w:t>
      </w:r>
    </w:p>
    <w:p>
      <w:pPr>
        <w:spacing w:after="0" w:line="162" w:lineRule="exact"/>
        <w:rPr>
          <w:sz w:val="20"/>
          <w:szCs w:val="20"/>
          <w:color w:val="auto"/>
        </w:rPr>
      </w:pPr>
    </w:p>
    <w:p>
      <w:pPr>
        <w:ind w:left="880" w:hanging="293"/>
        <w:spacing w:after="0" w:line="263" w:lineRule="auto"/>
        <w:tabs>
          <w:tab w:leader="none" w:pos="84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Expansion Into New Geographic Areas.</w:t>
      </w:r>
      <w:r>
        <w:rPr>
          <w:rFonts w:ascii="Arial" w:cs="Arial" w:eastAsia="Arial" w:hAnsi="Arial"/>
          <w:sz w:val="16"/>
          <w:szCs w:val="16"/>
          <w:color w:val="auto"/>
        </w:rPr>
        <w:t xml:space="preserve"> We plan to continue to expand our Rush Truck Center network and build a Rush Equipment Center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trucks and parts by allowing us to allocate our inventory among the geographic regions we serve based on market demand within these regions.</w:t>
      </w:r>
    </w:p>
    <w:p>
      <w:pPr>
        <w:spacing w:after="0" w:line="169" w:lineRule="exact"/>
        <w:rPr>
          <w:rFonts w:ascii="Arial" w:cs="Arial" w:eastAsia="Arial" w:hAnsi="Arial"/>
          <w:sz w:val="16"/>
          <w:szCs w:val="16"/>
          <w:color w:val="auto"/>
        </w:rPr>
      </w:pPr>
    </w:p>
    <w:p>
      <w:pPr>
        <w:ind w:left="880" w:right="180" w:hanging="293"/>
        <w:spacing w:after="0" w:line="286" w:lineRule="auto"/>
        <w:tabs>
          <w:tab w:leader="none" w:pos="84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Expansion of Product Offerings.</w:t>
      </w:r>
      <w:r>
        <w:rPr>
          <w:rFonts w:ascii="Arial" w:cs="Arial" w:eastAsia="Arial" w:hAnsi="Arial"/>
          <w:sz w:val="16"/>
          <w:szCs w:val="16"/>
          <w:color w:val="auto"/>
        </w:rPr>
        <w:t xml:space="preserve"> We intend to continue to expand our product lines within our Rush Truck Centers and our Rush Equipment Centers by adding product categories that are both complementary to our existing product lines and well suited to our operating model.</w:t>
      </w:r>
    </w:p>
    <w:p>
      <w:pPr>
        <w:spacing w:after="0" w:line="150" w:lineRule="exact"/>
        <w:rPr>
          <w:sz w:val="20"/>
          <w:szCs w:val="20"/>
          <w:color w:val="auto"/>
        </w:rPr>
      </w:pPr>
    </w:p>
    <w:p>
      <w:pPr>
        <w:ind w:left="880" w:right="400"/>
        <w:spacing w:after="0" w:line="286" w:lineRule="auto"/>
        <w:rPr>
          <w:sz w:val="20"/>
          <w:szCs w:val="20"/>
          <w:color w:val="auto"/>
        </w:rPr>
      </w:pPr>
      <w:r>
        <w:rPr>
          <w:rFonts w:ascii="Arial" w:cs="Arial" w:eastAsia="Arial" w:hAnsi="Arial"/>
          <w:sz w:val="16"/>
          <w:szCs w:val="16"/>
          <w:color w:val="auto"/>
        </w:rPr>
        <w:t>We believe that there are many additional product and service offerings that would complement our primary product lines. We expect any product category expansion that we pursue to satisfy our requirements that: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1140" w:hanging="259"/>
        <w:spacing w:after="0"/>
        <w:tabs>
          <w:tab w:leader="none" w:pos="114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products serve a commercial customer base;</w:t>
      </w:r>
    </w:p>
    <w:p>
      <w:pPr>
        <w:spacing w:after="0" w:line="208" w:lineRule="exact"/>
        <w:rPr>
          <w:rFonts w:ascii="Arial" w:cs="Arial" w:eastAsia="Arial" w:hAnsi="Arial"/>
          <w:sz w:val="16"/>
          <w:szCs w:val="16"/>
          <w:color w:val="auto"/>
        </w:rPr>
      </w:pPr>
    </w:p>
    <w:p>
      <w:pPr>
        <w:ind w:left="1140" w:hanging="259"/>
        <w:spacing w:after="0"/>
        <w:tabs>
          <w:tab w:leader="none" w:pos="114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products provide opportunities for incremental income through related aftermarket sales, service or financing; and</w:t>
      </w:r>
    </w:p>
    <w:p>
      <w:pPr>
        <w:spacing w:after="0" w:line="208" w:lineRule="exact"/>
        <w:rPr>
          <w:rFonts w:ascii="Arial" w:cs="Arial" w:eastAsia="Arial" w:hAnsi="Arial"/>
          <w:sz w:val="16"/>
          <w:szCs w:val="16"/>
          <w:color w:val="auto"/>
        </w:rPr>
      </w:pPr>
    </w:p>
    <w:p>
      <w:pPr>
        <w:ind w:left="1140" w:hanging="259"/>
        <w:spacing w:after="0"/>
        <w:tabs>
          <w:tab w:leader="none" w:pos="1140" w:val="left"/>
        </w:tabs>
        <w:numPr>
          <w:ilvl w:val="1"/>
          <w:numId w:val="4"/>
        </w:numPr>
        <w:rPr>
          <w:rFonts w:ascii="Arial" w:cs="Arial" w:eastAsia="Arial" w:hAnsi="Arial"/>
          <w:sz w:val="16"/>
          <w:szCs w:val="16"/>
          <w:color w:val="auto"/>
        </w:rPr>
      </w:pPr>
      <w:r>
        <w:rPr>
          <w:rFonts w:ascii="Arial" w:cs="Arial" w:eastAsia="Arial" w:hAnsi="Arial"/>
          <w:sz w:val="16"/>
          <w:szCs w:val="16"/>
          <w:color w:val="auto"/>
        </w:rPr>
        <w:t>Rush operating controls can be implemented to enhance the financial performance of the business.</w:t>
      </w:r>
    </w:p>
    <w:p>
      <w:pPr>
        <w:spacing w:after="0" w:line="208" w:lineRule="exact"/>
        <w:rPr>
          <w:rFonts w:ascii="Arial" w:cs="Arial" w:eastAsia="Arial" w:hAnsi="Arial"/>
          <w:sz w:val="16"/>
          <w:szCs w:val="16"/>
          <w:color w:val="auto"/>
        </w:rPr>
      </w:pPr>
    </w:p>
    <w:p>
      <w:pPr>
        <w:ind w:left="880" w:right="140" w:hanging="293"/>
        <w:spacing w:after="0" w:line="297" w:lineRule="auto"/>
        <w:tabs>
          <w:tab w:leader="none" w:pos="847"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Open New Rush Truck and Equipment Centers in Existing Areas of Operation.</w:t>
      </w:r>
      <w:r>
        <w:rPr>
          <w:rFonts w:ascii="Arial" w:cs="Arial" w:eastAsia="Arial" w:hAnsi="Arial"/>
          <w:sz w:val="15"/>
          <w:szCs w:val="15"/>
          <w:color w:val="auto"/>
        </w:rPr>
        <w:t xml:space="preserve"> We believe that there are opportunities to increase our share of the heavy-duty truck market by introducing our one-stop centers to underserved markets within our current areas of operation. The introduction of additional one-stop centers enables us to enhance revenues from our existing customer base as well as increase the awareness of the “Rush” brand name for new customers.</w:t>
      </w:r>
    </w:p>
    <w:p>
      <w:pPr>
        <w:spacing w:after="0" w:line="145" w:lineRule="exact"/>
        <w:rPr>
          <w:sz w:val="20"/>
          <w:szCs w:val="20"/>
          <w:color w:val="auto"/>
        </w:rPr>
      </w:pPr>
    </w:p>
    <w:p>
      <w:pPr>
        <w:ind w:right="20" w:firstLine="589"/>
        <w:spacing w:after="0" w:line="266" w:lineRule="auto"/>
        <w:rPr>
          <w:sz w:val="20"/>
          <w:szCs w:val="20"/>
          <w:color w:val="auto"/>
        </w:rPr>
      </w:pPr>
      <w:r>
        <w:rPr>
          <w:rFonts w:ascii="Arial" w:cs="Arial" w:eastAsia="Arial" w:hAnsi="Arial"/>
          <w:sz w:val="16"/>
          <w:szCs w:val="16"/>
          <w:color w:val="auto"/>
        </w:rPr>
        <w:t>In identifying new areas for expansion, we analyze the target market’s level of new truck registrations, customer buying and leasing trends and the existence of competing franchises. We also assess the potential performance of a parts and service center to determine whether a market is suitable for a Rush Truck Center. After a market has been strategically reviewed, we survey the region for a well-situated location. Whether we acquire existing dealerships or open a new Rush Truck Center, we will introduce our branding program and implement our integrated management system.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of Our Dealerships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manage our dealerships as described below.</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Rush Truck Centers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Rush Truck Centers are responsible for sales of new and used heavy- and medium-duty trucks, as well as related parts and services.</w:t>
      </w:r>
    </w:p>
    <w:p>
      <w:pPr>
        <w:spacing w:after="0" w:line="209" w:lineRule="exact"/>
        <w:rPr>
          <w:sz w:val="20"/>
          <w:szCs w:val="20"/>
          <w:color w:val="auto"/>
        </w:rPr>
      </w:pPr>
    </w:p>
    <w:p>
      <w:pPr>
        <w:ind w:right="360" w:firstLine="589"/>
        <w:spacing w:after="0" w:line="286" w:lineRule="auto"/>
        <w:rPr>
          <w:sz w:val="20"/>
          <w:szCs w:val="20"/>
          <w:color w:val="auto"/>
        </w:rPr>
      </w:pPr>
      <w:r>
        <w:rPr>
          <w:rFonts w:ascii="Arial" w:cs="Arial" w:eastAsia="Arial" w:hAnsi="Arial"/>
          <w:sz w:val="16"/>
          <w:szCs w:val="16"/>
          <w:u w:val="single" w:color="auto"/>
          <w:color w:val="auto"/>
        </w:rPr>
        <w:t>New Truck Sales</w:t>
      </w:r>
      <w:r>
        <w:rPr>
          <w:rFonts w:ascii="Arial" w:cs="Arial" w:eastAsia="Arial" w:hAnsi="Arial"/>
          <w:sz w:val="16"/>
          <w:szCs w:val="16"/>
          <w:color w:val="auto"/>
        </w:rPr>
        <w:t>. New heavy-duty truck sales represent the largest portion of our revenue, accounting for approximately $665.5 million, or 40.2%, of our total revenues in 2008. New Class 8 heavy-duty Peterbilt truck sales accounted for approximately 73.6% of our new truck revenues for 2008.</w:t>
      </w:r>
    </w:p>
    <w:p>
      <w:pPr>
        <w:spacing w:after="0" w:line="150" w:lineRule="exact"/>
        <w:rPr>
          <w:sz w:val="20"/>
          <w:szCs w:val="20"/>
          <w:color w:val="auto"/>
        </w:rPr>
      </w:pPr>
    </w:p>
    <w:p>
      <w:pPr>
        <w:ind w:right="60" w:firstLine="589"/>
        <w:spacing w:after="0" w:line="282" w:lineRule="auto"/>
        <w:rPr>
          <w:sz w:val="20"/>
          <w:szCs w:val="20"/>
          <w:color w:val="auto"/>
        </w:rPr>
      </w:pPr>
      <w:r>
        <w:rPr>
          <w:rFonts w:ascii="Arial" w:cs="Arial" w:eastAsia="Arial" w:hAnsi="Arial"/>
          <w:sz w:val="15"/>
          <w:szCs w:val="15"/>
          <w:color w:val="auto"/>
        </w:rPr>
        <w:t xml:space="preserve">Our Rush Truck Centers that sell new and used Class 8 heavy-duty trucks also sell Class 6 and Class 7 medium-duty Peterbilt trucks. Certain Rush Truck Centers also sell medium-duty trucks manufactured by GMC, Hino, Isuzu, Ford or UD and buses manufactured by Blue Bird (see Part I, Item 1, “General — </w:t>
      </w:r>
      <w:r>
        <w:rPr>
          <w:rFonts w:ascii="Arial" w:cs="Arial" w:eastAsia="Arial" w:hAnsi="Arial"/>
          <w:sz w:val="15"/>
          <w:szCs w:val="15"/>
          <w:i w:val="1"/>
          <w:iCs w:val="1"/>
          <w:color w:val="auto"/>
        </w:rPr>
        <w:t>Rush Truck Centers</w:t>
      </w:r>
      <w:r>
        <w:rPr>
          <w:rFonts w:ascii="Arial" w:cs="Arial" w:eastAsia="Arial" w:hAnsi="Arial"/>
          <w:sz w:val="15"/>
          <w:szCs w:val="15"/>
          <w:color w:val="auto"/>
        </w:rPr>
        <w:t>” for a description of our industry and the markets in which we operate). New medium-duty truck sales, excluding new bus sales, accounted for approximately $202.7 million, or 12.2% of our total revenues for 2008, and 22.7% of our new truck revenues for 2008. Our customers use heavy- and medium-duty trucks to haul various materials, including general freight, petroleum, wood products, refuse and construction materials. In 2008, we acquired the Blue Bird bus franchise for the majority of Texas. New bus sales accounted for approximately $19.4 million, or 1.2% of our total revenues for 2008, and 2.2% of our new truck revenues for 2008.</w:t>
      </w:r>
    </w:p>
    <w:p>
      <w:pPr>
        <w:spacing w:after="0" w:line="158" w:lineRule="exact"/>
        <w:rPr>
          <w:sz w:val="20"/>
          <w:szCs w:val="20"/>
          <w:color w:val="auto"/>
        </w:rPr>
      </w:pPr>
    </w:p>
    <w:p>
      <w:pPr>
        <w:ind w:right="80" w:firstLine="589"/>
        <w:spacing w:after="0" w:line="309" w:lineRule="auto"/>
        <w:rPr>
          <w:sz w:val="20"/>
          <w:szCs w:val="20"/>
          <w:color w:val="auto"/>
        </w:rPr>
      </w:pPr>
      <w:r>
        <w:rPr>
          <w:rFonts w:ascii="Arial" w:cs="Arial" w:eastAsia="Arial" w:hAnsi="Arial"/>
          <w:sz w:val="14"/>
          <w:szCs w:val="14"/>
          <w:color w:val="auto"/>
        </w:rPr>
        <w:t>A significant portion of our new truck sales are to fleet customers (customers who purchase more than five trucks in any 12-month period). Because of the size of our Rush Truck Center network, our strong relationships with our fleet customers and our ability to handle large quantities of used truck trade-ins, we are able to successfully market and sell to fleet customers nationwide. We believe that we have a competitive advantage over most other dealers in that we can absorb multi-unit trade-ins often associated with fleet sales and effectively disperse the used trucks for resale throughout our dealership network. We believe that our attention to customer service and our broad range of trucking services, including our ability to offer truck financing and insurance to our customers, has resulted in a high level of customer loyalty.</w:t>
      </w:r>
    </w:p>
    <w:p>
      <w:pPr>
        <w:spacing w:after="0" w:line="14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6"/>
          <w:szCs w:val="16"/>
          <w:u w:val="single" w:color="auto"/>
          <w:color w:val="auto"/>
        </w:rPr>
        <w:t>Used Truck Sales</w:t>
      </w:r>
      <w:r>
        <w:rPr>
          <w:rFonts w:ascii="Arial" w:cs="Arial" w:eastAsia="Arial" w:hAnsi="Arial"/>
          <w:sz w:val="16"/>
          <w:szCs w:val="16"/>
          <w:color w:val="auto"/>
        </w:rPr>
        <w:t>. Used truck sales accounted for approximately $149.9 million, or 9.1%, of our total revenues for 2008. We sell used heavy- and medium-duty trucks at most of our Rush Truck Centers. We believe that we are well positioned to market used heavy-duty trucks due to our ability to recondition them for resale utilizing the parts and service departments of our Rush Truck Centers and our ability to move used trucks between Rush Truck Centers to satisfy customer demand. The majority of our used truck fleet consists of trucks taken as trade-ins from new truck customers, but we supplement our used truck fleet by purchasing used trucks from third parties for resale.</w:t>
      </w:r>
    </w:p>
    <w:p>
      <w:pPr>
        <w:sectPr>
          <w:pgSz w:w="11900" w:h="16901" w:orient="portrait"/>
          <w:cols w:equalWidth="0" w:num="1">
            <w:col w:w="11420"/>
          </w:cols>
          <w:pgMar w:left="240" w:top="127" w:right="239" w:bottom="0" w:gutter="0" w:footer="0" w:header="0"/>
        </w:sectPr>
      </w:pPr>
    </w:p>
    <w:bookmarkStart w:id="5" w:name="page6"/>
    <w:bookmarkEnd w:id="5"/>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both"/>
        <w:ind w:right="120" w:firstLine="589"/>
        <w:spacing w:after="0" w:line="297" w:lineRule="auto"/>
        <w:rPr>
          <w:sz w:val="20"/>
          <w:szCs w:val="20"/>
          <w:color w:val="auto"/>
        </w:rPr>
      </w:pPr>
      <w:r>
        <w:rPr>
          <w:rFonts w:ascii="Arial" w:cs="Arial" w:eastAsia="Arial" w:hAnsi="Arial"/>
          <w:sz w:val="15"/>
          <w:szCs w:val="15"/>
          <w:u w:val="single" w:color="auto"/>
          <w:color w:val="auto"/>
        </w:rPr>
        <w:t>Truck Parts and Service</w:t>
      </w:r>
      <w:r>
        <w:rPr>
          <w:rFonts w:ascii="Arial" w:cs="Arial" w:eastAsia="Arial" w:hAnsi="Arial"/>
          <w:sz w:val="15"/>
          <w:szCs w:val="15"/>
          <w:color w:val="auto"/>
        </w:rPr>
        <w:t>. Truck-related parts and service revenues accounted for approximately $457.6 million, or 27.6%, of our total revenues for 2008. The parts business enhances our sales and service functions and is a source of recurring revenue. Most Rush Truck Centers carry a wide variety of Peterbilt and other truck parts in its inventory. We also have field service trucks and technicians who are capable of making on-site repairs at our customers’ locations.</w:t>
      </w:r>
    </w:p>
    <w:p>
      <w:pPr>
        <w:spacing w:after="0" w:line="145" w:lineRule="exact"/>
        <w:rPr>
          <w:sz w:val="20"/>
          <w:szCs w:val="20"/>
          <w:color w:val="auto"/>
        </w:rPr>
      </w:pPr>
    </w:p>
    <w:p>
      <w:pPr>
        <w:ind w:right="120" w:firstLine="589"/>
        <w:spacing w:after="0" w:line="266" w:lineRule="auto"/>
        <w:rPr>
          <w:sz w:val="20"/>
          <w:szCs w:val="20"/>
          <w:color w:val="auto"/>
        </w:rPr>
      </w:pPr>
      <w:r>
        <w:rPr>
          <w:rFonts w:ascii="Arial" w:cs="Arial" w:eastAsia="Arial" w:hAnsi="Arial"/>
          <w:sz w:val="16"/>
          <w:szCs w:val="16"/>
          <w:color w:val="auto"/>
        </w:rPr>
        <w:t>Certain Rush Truck Centers also feature fully equipped service and body shop facilities, the combination and configuration of which varies by location, capable of handling a broad range of truck repairs on most makes and classes of trucks. Each Rush Truck Center is a warranty service center for the truck manufacturers represented at that location and most are also authorized service centers for other manufacturers, including the following: Caterpillar, Cummins, Eaton and Arvin Meritor. We have more than 900 service and body shop bays, including 23 paint booths, throughout our Rush Truck Center network.</w:t>
      </w:r>
    </w:p>
    <w:p>
      <w:pPr>
        <w:spacing w:after="0" w:line="166"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color w:val="auto"/>
        </w:rPr>
        <w:t>We perform both warranty and nonwarranty service work on heavy- and medium-duty trucks and components. The cost of warranty work is generally reimbursed by the applicable manufacturer at retail consumer rates. A majority of the service technicians at our Rush Truck Centers have been certified by various truck or component manufacturers.</w:t>
      </w:r>
    </w:p>
    <w:p>
      <w:pPr>
        <w:spacing w:after="0" w:line="162" w:lineRule="exact"/>
        <w:rPr>
          <w:sz w:val="20"/>
          <w:szCs w:val="20"/>
          <w:color w:val="auto"/>
        </w:rPr>
      </w:pPr>
    </w:p>
    <w:p>
      <w:pPr>
        <w:ind w:right="40" w:firstLine="589"/>
        <w:spacing w:after="0" w:line="259" w:lineRule="auto"/>
        <w:rPr>
          <w:sz w:val="20"/>
          <w:szCs w:val="20"/>
          <w:color w:val="auto"/>
        </w:rPr>
      </w:pPr>
      <w:r>
        <w:rPr>
          <w:rFonts w:ascii="Arial" w:cs="Arial" w:eastAsia="Arial" w:hAnsi="Arial"/>
          <w:sz w:val="16"/>
          <w:szCs w:val="16"/>
          <w:u w:val="single" w:color="auto"/>
          <w:color w:val="auto"/>
        </w:rPr>
        <w:t>Truck Leasing and Rental</w:t>
      </w:r>
      <w:r>
        <w:rPr>
          <w:rFonts w:ascii="Arial" w:cs="Arial" w:eastAsia="Arial" w:hAnsi="Arial"/>
          <w:sz w:val="16"/>
          <w:szCs w:val="16"/>
          <w:color w:val="auto"/>
        </w:rPr>
        <w:t>. Truck leasing and rental revenues accounted for approximately $54.8 million, or 3.3%, of our total revenues for 2008. At our Rush Truck Leasing locations, we engage in full-service truck leasing under the PacLease trade name at eleven locations and are the largest PacLease dealer in the United States. During 2008, we acquired an Idealease franchise in Charlotte, North Carolina.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2,570 units in our lease and rental fleet as of December 31, 2008 compared to 2,404 units as of December 31, 2007. As of December 31, 2008, we owned approximately 83% of our lease and rental fleet, and leased the remaining trucks in our fleet primarily from PACCAR Leasing Company (“PACCAR Leasing”). Currently, the average age of the trucks in our lease and rental fleet is approximately 31 months. Generally, we hold trucks in our lease and rental fleet for approximately 6 years, depending on the type of truck, and then sell them through the used sales operations at our Rush Truck Centers. Historically, we have realized gains on the sale of used lease trucks in excess of the cost of the purchase option contained in our leases with PACCAR Leasing or the book value of trucks owned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Rush Equipment Center</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Rush Equipment Centers are responsible for sales of new and used construction equipment and related parts and service.</w:t>
      </w:r>
    </w:p>
    <w:p>
      <w:pPr>
        <w:spacing w:after="0" w:line="209" w:lineRule="exact"/>
        <w:rPr>
          <w:sz w:val="20"/>
          <w:szCs w:val="20"/>
          <w:color w:val="auto"/>
        </w:rPr>
      </w:pPr>
    </w:p>
    <w:p>
      <w:pPr>
        <w:ind w:right="80" w:firstLine="589"/>
        <w:spacing w:after="0" w:line="263" w:lineRule="auto"/>
        <w:rPr>
          <w:sz w:val="20"/>
          <w:szCs w:val="20"/>
          <w:color w:val="auto"/>
        </w:rPr>
      </w:pPr>
      <w:r>
        <w:rPr>
          <w:rFonts w:ascii="Arial" w:cs="Arial" w:eastAsia="Arial" w:hAnsi="Arial"/>
          <w:sz w:val="16"/>
          <w:szCs w:val="16"/>
          <w:u w:val="single" w:color="auto"/>
          <w:color w:val="auto"/>
        </w:rPr>
        <w:t>New Construction Equipment Sales</w:t>
      </w:r>
      <w:r>
        <w:rPr>
          <w:rFonts w:ascii="Arial" w:cs="Arial" w:eastAsia="Arial" w:hAnsi="Arial"/>
          <w:sz w:val="16"/>
          <w:szCs w:val="16"/>
          <w:color w:val="auto"/>
        </w:rPr>
        <w:t>. New construction equipment sales accounted for approximately $59.0 million, or 3.6%, of our total revenues for 2008. Our Rush Equipment Centers carry a complete line of John Deere construction equipment. A new piece of John Deere construction equipment typically ranges in price from $50,000 for a backhoe to $500,000 for an excavator. We carry a full line of complementary construction equipment manufactured by other suppliers to enhance our John Deere product line. We sell construction equipment to a diverse customer base including residential and commercial construction contractors, utility companies, government agencies, and various petrochemical, industrial and material supply businesses.</w:t>
      </w:r>
    </w:p>
    <w:p>
      <w:pPr>
        <w:spacing w:after="0" w:line="169"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auto"/>
        </w:rPr>
        <w:t>We believe that John Deere’s reputation for manufacturing high quality construction equipment attracts new and repeat customers who value lower maintenance and repair costs and a higher residual value at trade-in. We attempt to increase this brand loyalty with an operating strategy that is similar to the operating strategy used by our Rush Truck Centers and focuses on providing fast, reliable service. We believe that our operating strategy will enable us to both increase our customer base and generate repeat business for all product offerings.</w:t>
      </w:r>
    </w:p>
    <w:p>
      <w:pPr>
        <w:spacing w:after="0" w:line="166"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u w:val="single" w:color="auto"/>
          <w:color w:val="auto"/>
        </w:rPr>
        <w:t>Used Construction Equipment Sales</w:t>
      </w:r>
      <w:r>
        <w:rPr>
          <w:rFonts w:ascii="Arial" w:cs="Arial" w:eastAsia="Arial" w:hAnsi="Arial"/>
          <w:sz w:val="16"/>
          <w:szCs w:val="16"/>
          <w:color w:val="auto"/>
        </w:rPr>
        <w:t>. Used construction equipment sales accounted for approximately $3.2 million, or 0.2%, of our total revenues for 2008. We sell used construction equipment manufactured by several manufacturers, including John Deere, Case, Caterpillar, and Komatsu. Our used construction equipment inventory is derived from trade-ins from our construction equipment customers and purchases from third parties.</w:t>
      </w:r>
    </w:p>
    <w:p>
      <w:pPr>
        <w:spacing w:after="0" w:line="162" w:lineRule="exact"/>
        <w:rPr>
          <w:sz w:val="20"/>
          <w:szCs w:val="20"/>
          <w:color w:val="auto"/>
        </w:rPr>
      </w:pPr>
    </w:p>
    <w:p>
      <w:pPr>
        <w:jc w:val="both"/>
        <w:ind w:right="100" w:firstLine="589"/>
        <w:spacing w:after="0" w:line="271" w:lineRule="auto"/>
        <w:rPr>
          <w:sz w:val="20"/>
          <w:szCs w:val="20"/>
          <w:color w:val="auto"/>
        </w:rPr>
      </w:pPr>
      <w:r>
        <w:rPr>
          <w:rFonts w:ascii="Arial" w:cs="Arial" w:eastAsia="Arial" w:hAnsi="Arial"/>
          <w:sz w:val="16"/>
          <w:szCs w:val="16"/>
          <w:u w:val="single" w:color="auto"/>
          <w:color w:val="auto"/>
        </w:rPr>
        <w:t>Construction Equipment Parts and Service</w:t>
      </w:r>
      <w:r>
        <w:rPr>
          <w:rFonts w:ascii="Arial" w:cs="Arial" w:eastAsia="Arial" w:hAnsi="Arial"/>
          <w:sz w:val="16"/>
          <w:szCs w:val="16"/>
          <w:color w:val="auto"/>
        </w:rPr>
        <w:t>. Construction equipment related parts and service revenues accounted for approximately $20.8 million, or 1.3%, of our total revenues for 2008. Our Rush Equipment Centers carry a wide variety of John Deere and other parts in its inventory, which consists of over 7,000 items from more than 15 suppliers. We are an</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authorized John Deere construction equipment parts and accessories supplier in the Houston, Texas area. We maintain a fully equipped service operation capable of handling repairs on John Deere construction equipment and most other brands of construction equipment at our Rush Equipment Centers. We enhance our service presence with field service trucks and technicians who are capable of making on-site repairs at our customers’ locations.</w:t>
      </w:r>
    </w:p>
    <w:p>
      <w:pPr>
        <w:spacing w:after="0" w:line="162"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Additional information related to these operating segments for 2008, 2007 and 2006 is included in Note 20 — Segments in the Notes to the Company’s Consolidated Financial Statements in Item 8.</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and Insurance Products</w:t>
      </w:r>
    </w:p>
    <w:p>
      <w:pPr>
        <w:spacing w:after="0" w:line="209"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We sell, as agent, a complete line of property and casualty insurance to our truck customers and other truck owners. Our agency is licensed to sell truck liability, general liability, collision and comprehensive, workers’ compensation, cargo, credit life and occupational accident insurance coverage. We serve as sales representatives for a number of leading insurance companies including the Great American Insurance Companies, Hartford Insurance Group and American General Financial Group. Our renewal rate during 2008 was 80%.</w:t>
      </w:r>
    </w:p>
    <w:p>
      <w:pPr>
        <w:spacing w:after="0" w:line="166" w:lineRule="exact"/>
        <w:rPr>
          <w:sz w:val="20"/>
          <w:szCs w:val="20"/>
          <w:color w:val="auto"/>
        </w:rPr>
      </w:pPr>
    </w:p>
    <w:p>
      <w:pPr>
        <w:ind w:right="200" w:firstLine="589"/>
        <w:spacing w:after="0" w:line="289" w:lineRule="auto"/>
        <w:rPr>
          <w:sz w:val="20"/>
          <w:szCs w:val="20"/>
          <w:color w:val="auto"/>
        </w:rPr>
      </w:pPr>
      <w:r>
        <w:rPr>
          <w:rFonts w:ascii="Arial" w:cs="Arial" w:eastAsia="Arial" w:hAnsi="Arial"/>
          <w:sz w:val="15"/>
          <w:szCs w:val="15"/>
          <w:color w:val="auto"/>
        </w:rPr>
        <w:t>At our Rush Truck Centers and our Rush Equipment Centers we have personnel responsible for arranging third-party financing for our product offerings. We also have licensed insurance agents at some of our dealerships in Alabama, California, Colorado, Florida, New Mexico, North Carolina, Tennessee and Texas who arrange insurance for our customers. The sale of financial and insurance products accounted for approximately $12.3 million, or 0.7%, of our total revenue for 2008. Finance and insurance revenues have minimal direct costs and, therefore, contribute a disproportionate share of our operating profits.</w:t>
      </w:r>
    </w:p>
    <w:p>
      <w:pPr>
        <w:spacing w:after="0" w:line="150" w:lineRule="exact"/>
        <w:rPr>
          <w:sz w:val="20"/>
          <w:szCs w:val="20"/>
          <w:color w:val="auto"/>
        </w:rPr>
      </w:pPr>
    </w:p>
    <w:p>
      <w:pPr>
        <w:ind w:right="80" w:firstLine="589"/>
        <w:spacing w:after="0" w:line="315" w:lineRule="auto"/>
        <w:rPr>
          <w:sz w:val="20"/>
          <w:szCs w:val="20"/>
          <w:color w:val="auto"/>
        </w:rPr>
      </w:pPr>
      <w:r>
        <w:rPr>
          <w:rFonts w:ascii="Arial" w:cs="Arial" w:eastAsia="Arial" w:hAnsi="Arial"/>
          <w:sz w:val="14"/>
          <w:szCs w:val="14"/>
          <w:u w:val="single" w:color="auto"/>
          <w:color w:val="auto"/>
        </w:rPr>
        <w:t>New and Used Truck Financing</w:t>
      </w:r>
      <w:r>
        <w:rPr>
          <w:rFonts w:ascii="Arial" w:cs="Arial" w:eastAsia="Arial" w:hAnsi="Arial"/>
          <w:sz w:val="14"/>
          <w:szCs w:val="14"/>
          <w:color w:val="auto"/>
        </w:rPr>
        <w:t>. We arranged customer financing through various commercial lending sources for approximately 30% of our new and used truck sales in 2008 and 2007. Generally, truck finance contracts are memorialized through the use of installment contracts, which are secured by the trucks financed, and require a down payment of 10% to 30% of the value of the financed truck, with the remaining balance financed over a two to five-year period. The majority of finance contracts are sold without recourse to the Company. The Company’s recourse liability related to finance contracts sold with recourse to the Company ranges from 5% to 100% of the</w:t>
      </w:r>
    </w:p>
    <w:p>
      <w:pPr>
        <w:sectPr>
          <w:pgSz w:w="11900" w:h="16838" w:orient="portrait"/>
          <w:cols w:equalWidth="0" w:num="1">
            <w:col w:w="11400"/>
          </w:cols>
          <w:pgMar w:left="240" w:top="520" w:right="259" w:bottom="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color w:val="auto"/>
        </w:rPr>
        <w:t>outstanding amount of each note initiated on behalf of the finance company (see “Management’s Discussion and Analysis of Financial Condition and Results of Operations — Critical Accounting Policies”). The Company provides an allowance for repossession losses and early repayment penalties.</w:t>
      </w:r>
    </w:p>
    <w:p>
      <w:pPr>
        <w:spacing w:after="0" w:line="150" w:lineRule="exact"/>
        <w:rPr>
          <w:sz w:val="20"/>
          <w:szCs w:val="20"/>
          <w:color w:val="auto"/>
        </w:rPr>
      </w:pPr>
    </w:p>
    <w:p>
      <w:pPr>
        <w:ind w:right="40" w:firstLine="589"/>
        <w:spacing w:after="0" w:line="263" w:lineRule="auto"/>
        <w:rPr>
          <w:sz w:val="20"/>
          <w:szCs w:val="20"/>
          <w:color w:val="auto"/>
        </w:rPr>
      </w:pPr>
      <w:r>
        <w:rPr>
          <w:rFonts w:ascii="Arial" w:cs="Arial" w:eastAsia="Arial" w:hAnsi="Arial"/>
          <w:sz w:val="16"/>
          <w:szCs w:val="16"/>
          <w:u w:val="single" w:color="auto"/>
          <w:color w:val="auto"/>
        </w:rPr>
        <w:t>New and Used Construction Equipment Financing</w:t>
      </w:r>
      <w:r>
        <w:rPr>
          <w:rFonts w:ascii="Arial" w:cs="Arial" w:eastAsia="Arial" w:hAnsi="Arial"/>
          <w:sz w:val="16"/>
          <w:szCs w:val="16"/>
          <w:color w:val="auto"/>
        </w:rPr>
        <w:t>. We arranged customer financing through various commercial lending sources for approximately $32.7 million of our new and used construction equipment sales in 2008, a decrease of 31.2% from approximately $47.5 million in 2007. Generally, construction equipment finance contracts are memorialized through the use of installment or lease contracts, which are secured by the construction equipment financed, and generally require a down payment of 0% to 10% of the value of the financed piece of construction equipment, with the remaining balance being financed over a three to five-year period. All finance contracts for construction equipment are assigned without recourse.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13" w:lineRule="exact"/>
        <w:rPr>
          <w:sz w:val="20"/>
          <w:szCs w:val="20"/>
          <w:color w:val="auto"/>
        </w:rPr>
      </w:pPr>
    </w:p>
    <w:p>
      <w:pPr>
        <w:ind w:right="40" w:firstLine="589"/>
        <w:spacing w:after="0" w:line="262" w:lineRule="auto"/>
        <w:rPr>
          <w:sz w:val="20"/>
          <w:szCs w:val="20"/>
          <w:color w:val="auto"/>
        </w:rPr>
      </w:pPr>
      <w:r>
        <w:rPr>
          <w:rFonts w:ascii="Arial" w:cs="Arial" w:eastAsia="Arial" w:hAnsi="Arial"/>
          <w:sz w:val="16"/>
          <w:szCs w:val="16"/>
          <w:color w:val="auto"/>
        </w:rPr>
        <w:t>Our established expansion and acquisition strategy and long history of operations in the heavy- and medium-duty truck business have resulted in a strong customer base that is diverse in terms of geography, industry and scale of operations. Rush Truck Centers’ customers include owner operators, regional and national truck fleets, corporations and local governments. During 2008, no single customer of our Rush Truck Centers accounted for more than 10% of our total truck sales by dollar volume. Our Rush Equipment Centers’ customer base is similarly diverse and, during 2008, no single Rush Equipment Center customer accounted for more than 10% of our total construction equipment sales by dollar volume. We generally promote our products and related services through direct customer contact by our sales personnel, advertisements in trade magazines and attendance at industry shows.</w:t>
      </w:r>
    </w:p>
    <w:p>
      <w:pPr>
        <w:spacing w:after="0" w:line="169" w:lineRule="exact"/>
        <w:rPr>
          <w:sz w:val="20"/>
          <w:szCs w:val="20"/>
          <w:color w:val="auto"/>
        </w:rPr>
      </w:pPr>
    </w:p>
    <w:p>
      <w:pPr>
        <w:ind w:right="100" w:firstLine="589"/>
        <w:spacing w:after="0" w:line="266" w:lineRule="auto"/>
        <w:rPr>
          <w:sz w:val="20"/>
          <w:szCs w:val="20"/>
          <w:color w:val="auto"/>
        </w:rPr>
      </w:pPr>
      <w:r>
        <w:rPr>
          <w:rFonts w:ascii="Arial" w:cs="Arial" w:eastAsia="Arial" w:hAnsi="Arial"/>
          <w:sz w:val="16"/>
          <w:szCs w:val="16"/>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and our Rush Equipment Centers, we implement our “Rush” brand name concept at each of our dealerships. Each of our dealerships is identified as either a Rush Truck Center or Rush Equipment Center.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Management</w:t>
      </w:r>
    </w:p>
    <w:p>
      <w:pPr>
        <w:spacing w:after="0" w:line="213" w:lineRule="exact"/>
        <w:rPr>
          <w:sz w:val="20"/>
          <w:szCs w:val="20"/>
          <w:color w:val="auto"/>
        </w:rPr>
      </w:pPr>
    </w:p>
    <w:p>
      <w:pPr>
        <w:ind w:right="200" w:firstLine="654"/>
        <w:spacing w:after="0" w:line="261" w:lineRule="auto"/>
        <w:rPr>
          <w:sz w:val="20"/>
          <w:szCs w:val="20"/>
          <w:color w:val="auto"/>
        </w:rPr>
      </w:pPr>
      <w:r>
        <w:rPr>
          <w:rFonts w:ascii="Arial" w:cs="Arial" w:eastAsia="Arial" w:hAnsi="Arial"/>
          <w:sz w:val="16"/>
          <w:szCs w:val="16"/>
          <w:i w:val="1"/>
          <w:iCs w:val="1"/>
          <w:color w:val="auto"/>
        </w:rPr>
        <w:t xml:space="preserve">Personnel. </w:t>
      </w:r>
      <w:r>
        <w:rPr>
          <w:rFonts w:ascii="Arial" w:cs="Arial" w:eastAsia="Arial" w:hAnsi="Arial"/>
          <w:sz w:val="16"/>
          <w:szCs w:val="16"/>
          <w:color w:val="auto"/>
        </w:rPr>
        <w:t>Each Rush Truck Center and Rush Equipment Center is typically managed by a general manager who oversees the operations, personnel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performance of the location, subject to the direction of our corporate office. Additionally, each Rush Truck Center is typically staffed by a sales manager, parts manager, service manager, sales representatives, parts employees, and other service and makeready employees, as appropriate, given the services offered. The sales staff of each Rush Truck Center and Rush Equipment Center is compensated on a salary plus commission basis, with a high percentage of their compensation consisting of commission, while the general manager, parts manager and service manager receive a combination of salary and performance bonus, with a high percentage of their compensation consisting of the performance bonus. We believe that our employees are among the highest paid in their respective industry which enables us to attract and retain qualified personnel.</w:t>
      </w:r>
    </w:p>
    <w:p>
      <w:pPr>
        <w:spacing w:after="0" w:line="169" w:lineRule="exact"/>
        <w:rPr>
          <w:sz w:val="20"/>
          <w:szCs w:val="20"/>
          <w:color w:val="auto"/>
        </w:rPr>
      </w:pPr>
    </w:p>
    <w:p>
      <w:pPr>
        <w:ind w:right="200" w:firstLine="654"/>
        <w:spacing w:after="0" w:line="297" w:lineRule="auto"/>
        <w:rPr>
          <w:sz w:val="20"/>
          <w:szCs w:val="20"/>
          <w:color w:val="auto"/>
        </w:rPr>
      </w:pPr>
      <w:r>
        <w:rPr>
          <w:rFonts w:ascii="Arial" w:cs="Arial" w:eastAsia="Arial" w:hAnsi="Arial"/>
          <w:sz w:val="15"/>
          <w:szCs w:val="15"/>
          <w:color w:val="auto"/>
        </w:rPr>
        <w:t>On an annual basis, general managers prepare detailed monthly profit and loss forecasts based upon historical information and projected trends. A portion of each general manager’s performance bonus is based upon whether they meet or exceed their operating plans. During the year, general managers regularly review their facility’s progress with senior management and make appropriate adjustments as needed. Most of our employees receive annual performance evaluations.</w:t>
      </w:r>
    </w:p>
    <w:p>
      <w:pPr>
        <w:spacing w:after="0" w:line="145" w:lineRule="exact"/>
        <w:rPr>
          <w:sz w:val="20"/>
          <w:szCs w:val="20"/>
          <w:color w:val="auto"/>
        </w:rPr>
      </w:pPr>
    </w:p>
    <w:p>
      <w:pPr>
        <w:ind w:right="380" w:firstLine="654"/>
        <w:spacing w:after="0" w:line="327" w:lineRule="auto"/>
        <w:rPr>
          <w:sz w:val="20"/>
          <w:szCs w:val="20"/>
          <w:color w:val="auto"/>
        </w:rPr>
      </w:pPr>
      <w:r>
        <w:rPr>
          <w:rFonts w:ascii="Arial" w:cs="Arial" w:eastAsia="Arial" w:hAnsi="Arial"/>
          <w:sz w:val="14"/>
          <w:szCs w:val="14"/>
          <w:color w:val="auto"/>
        </w:rPr>
        <w:t>We have been successful in retaining our senior management and general managers. To promote communication and efficiency in operating standards, general managers and members of senior management attend company-wide strategy sessions each year. In addition, management personnel attend various industry-sponsored leadership and management seminars and receive continuing education on the products we distribute, marketing strategies and management information systems.</w:t>
      </w:r>
    </w:p>
    <w:p>
      <w:pPr>
        <w:spacing w:after="0" w:line="127" w:lineRule="exact"/>
        <w:rPr>
          <w:sz w:val="20"/>
          <w:szCs w:val="20"/>
          <w:color w:val="auto"/>
        </w:rPr>
      </w:pPr>
    </w:p>
    <w:p>
      <w:pPr>
        <w:ind w:right="100" w:firstLine="654"/>
        <w:spacing w:after="0" w:line="285" w:lineRule="auto"/>
        <w:rPr>
          <w:sz w:val="20"/>
          <w:szCs w:val="20"/>
          <w:color w:val="auto"/>
        </w:rPr>
      </w:pPr>
      <w:r>
        <w:rPr>
          <w:rFonts w:ascii="Arial" w:cs="Arial" w:eastAsia="Arial" w:hAnsi="Arial"/>
          <w:sz w:val="15"/>
          <w:szCs w:val="15"/>
          <w:color w:val="auto"/>
        </w:rPr>
        <w:t>Members of senior management regularly travel to each location to provide on-site management and support. Each location is audited regularly for compliance with corporate policies and procedures. These routine unannounced internal audits, objectively measure dealership performance with respect to corporate expectations in the management and administration of sales, truck and equipment inventory, parts inventory, parts sales, service sales, body shop sales, corporate policy compliance, human resources compliance, and environmental and safety compliance matters. The Company has instituted succession planning pursuant to which employees in each Rush Truck Center and Rush Equipment Center are groomed as assistant managers to assume management responsibilities in existing and future dealerships.</w:t>
      </w:r>
    </w:p>
    <w:p>
      <w:pPr>
        <w:spacing w:after="0" w:line="153" w:lineRule="exact"/>
        <w:rPr>
          <w:sz w:val="20"/>
          <w:szCs w:val="20"/>
          <w:color w:val="auto"/>
        </w:rPr>
      </w:pPr>
    </w:p>
    <w:p>
      <w:pPr>
        <w:ind w:right="100" w:firstLine="654"/>
        <w:spacing w:after="0" w:line="282" w:lineRule="auto"/>
        <w:rPr>
          <w:sz w:val="20"/>
          <w:szCs w:val="20"/>
          <w:color w:val="auto"/>
        </w:rPr>
      </w:pPr>
      <w:r>
        <w:rPr>
          <w:rFonts w:ascii="Arial" w:cs="Arial" w:eastAsia="Arial" w:hAnsi="Arial"/>
          <w:sz w:val="15"/>
          <w:szCs w:val="15"/>
          <w:i w:val="1"/>
          <w:iCs w:val="1"/>
          <w:color w:val="auto"/>
        </w:rPr>
        <w:t xml:space="preserve">Purchasing and Suppliers. </w:t>
      </w:r>
      <w:r>
        <w:rPr>
          <w:rFonts w:ascii="Arial" w:cs="Arial" w:eastAsia="Arial" w:hAnsi="Arial"/>
          <w:sz w:val="15"/>
          <w:szCs w:val="15"/>
          <w:color w:val="auto"/>
        </w:rPr>
        <w:t>We believe that pricing is an important element of our marketing strategy. Because of our size, our Rush Truck Centers benefit from</w:t>
      </w:r>
      <w:r>
        <w:rPr>
          <w:rFonts w:ascii="Arial" w:cs="Arial" w:eastAsia="Arial" w:hAnsi="Arial"/>
          <w:sz w:val="15"/>
          <w:szCs w:val="15"/>
          <w:i w:val="1"/>
          <w:iCs w:val="1"/>
          <w:color w:val="auto"/>
        </w:rPr>
        <w:t xml:space="preserve"> </w:t>
      </w:r>
      <w:r>
        <w:rPr>
          <w:rFonts w:ascii="Arial" w:cs="Arial" w:eastAsia="Arial" w:hAnsi="Arial"/>
          <w:sz w:val="15"/>
          <w:szCs w:val="15"/>
          <w:color w:val="auto"/>
        </w:rPr>
        <w:t>volume purchases at favorable prices that permit them to achieve a competitive pricing position in the industry. We purchase our truck inventory and parts and accessories directly from the manufacturer. All other manufacturers’ parts and accessories, including those of Caterpillar, Cummins and other component manufacturers, are purchased through wholesale vendors or from PACCAR, which buys such products in bulk for resale to the Company and other Peterbilt dealers. All purchasing commitments are negotiated by personnel at our corporate headquarters. We have been able to negotiate favorable pricing levels and terms, which enables us to offer competitive prices for our products. We purchase all of our John Deere construction equipment inventory and John Deere parts directly from John Deere.</w:t>
      </w:r>
    </w:p>
    <w:p>
      <w:pPr>
        <w:spacing w:after="0" w:line="158" w:lineRule="exact"/>
        <w:rPr>
          <w:sz w:val="20"/>
          <w:szCs w:val="20"/>
          <w:color w:val="auto"/>
        </w:rPr>
      </w:pPr>
    </w:p>
    <w:p>
      <w:pPr>
        <w:ind w:right="100" w:firstLine="654"/>
        <w:spacing w:after="0" w:line="285" w:lineRule="auto"/>
        <w:rPr>
          <w:sz w:val="20"/>
          <w:szCs w:val="20"/>
          <w:color w:val="auto"/>
        </w:rPr>
      </w:pPr>
      <w:r>
        <w:rPr>
          <w:rFonts w:ascii="Arial" w:cs="Arial" w:eastAsia="Arial" w:hAnsi="Arial"/>
          <w:sz w:val="15"/>
          <w:szCs w:val="15"/>
          <w:i w:val="1"/>
          <w:iCs w:val="1"/>
          <w:color w:val="auto"/>
        </w:rPr>
        <w:t xml:space="preserve">Management Information Systems. </w:t>
      </w:r>
      <w:r>
        <w:rPr>
          <w:rFonts w:ascii="Arial" w:cs="Arial" w:eastAsia="Arial" w:hAnsi="Arial"/>
          <w:sz w:val="15"/>
          <w:szCs w:val="15"/>
          <w:color w:val="auto"/>
        </w:rPr>
        <w:t>Each Rush Truck Center and Rush Equipment Center maintains a centralized real-time inventory tracking system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accessible simultaneously by all locations and by our corporate office. We utilize our management information systems to monitor the inventory level of trucks and parts 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 Our management information systems and databases are also used to monitor market conditions and sales information and assess product and expansion strategies.</w:t>
      </w:r>
    </w:p>
    <w:p>
      <w:pPr>
        <w:spacing w:after="0" w:line="153" w:lineRule="exact"/>
        <w:rPr>
          <w:sz w:val="20"/>
          <w:szCs w:val="20"/>
          <w:color w:val="auto"/>
        </w:rPr>
      </w:pPr>
    </w:p>
    <w:p>
      <w:pPr>
        <w:jc w:val="both"/>
        <w:ind w:right="80" w:firstLine="654"/>
        <w:spacing w:after="0" w:line="271" w:lineRule="auto"/>
        <w:rPr>
          <w:sz w:val="20"/>
          <w:szCs w:val="20"/>
          <w:color w:val="auto"/>
        </w:rPr>
      </w:pPr>
      <w:r>
        <w:rPr>
          <w:rFonts w:ascii="Arial" w:cs="Arial" w:eastAsia="Arial" w:hAnsi="Arial"/>
          <w:sz w:val="16"/>
          <w:szCs w:val="16"/>
          <w:color w:val="auto"/>
        </w:rPr>
        <w:t>Information received from manufacturers, industry analysts and industry contacts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62" w:lineRule="exact"/>
        <w:rPr>
          <w:sz w:val="20"/>
          <w:szCs w:val="20"/>
          <w:color w:val="auto"/>
        </w:rPr>
      </w:pPr>
    </w:p>
    <w:p>
      <w:pPr>
        <w:ind w:right="40" w:firstLine="654"/>
        <w:spacing w:after="0" w:line="271" w:lineRule="auto"/>
        <w:rPr>
          <w:sz w:val="20"/>
          <w:szCs w:val="20"/>
          <w:color w:val="auto"/>
        </w:rPr>
      </w:pPr>
      <w:r>
        <w:rPr>
          <w:rFonts w:ascii="Arial" w:cs="Arial" w:eastAsia="Arial" w:hAnsi="Arial"/>
          <w:sz w:val="16"/>
          <w:szCs w:val="16"/>
          <w:i w:val="1"/>
          <w:iCs w:val="1"/>
          <w:color w:val="auto"/>
        </w:rPr>
        <w:t xml:space="preserve">Distribution and Inventory Management. </w:t>
      </w:r>
      <w:r>
        <w:rPr>
          <w:rFonts w:ascii="Arial" w:cs="Arial" w:eastAsia="Arial" w:hAnsi="Arial"/>
          <w:sz w:val="16"/>
          <w:szCs w:val="16"/>
          <w:color w:val="auto"/>
        </w:rPr>
        <w:t>We utilize a real-time inventory tracking system to maintain a close link between each Rush Truck Center. This link</w:t>
      </w:r>
      <w:r>
        <w:rPr>
          <w:rFonts w:ascii="Arial" w:cs="Arial" w:eastAsia="Arial" w:hAnsi="Arial"/>
          <w:sz w:val="16"/>
          <w:szCs w:val="16"/>
          <w:i w:val="1"/>
          <w:iCs w:val="1"/>
          <w:color w:val="auto"/>
        </w:rPr>
        <w:t xml:space="preserve"> </w:t>
      </w:r>
      <w:r>
        <w:rPr>
          <w:rFonts w:ascii="Arial" w:cs="Arial" w:eastAsia="Arial" w:hAnsi="Arial"/>
          <w:sz w:val="16"/>
          <w:szCs w:val="16"/>
          <w:color w:val="auto"/>
        </w:rPr>
        <w:t>allows for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20" w:firstLine="41"/>
        <w:spacing w:after="0" w:line="271" w:lineRule="auto"/>
        <w:rPr>
          <w:sz w:val="20"/>
          <w:szCs w:val="20"/>
          <w:color w:val="auto"/>
        </w:rPr>
      </w:pPr>
      <w:r>
        <w:rPr>
          <w:rFonts w:ascii="Arial" w:cs="Arial" w:eastAsia="Arial" w:hAnsi="Arial"/>
          <w:sz w:val="16"/>
          <w:szCs w:val="16"/>
          <w:color w:val="auto"/>
        </w:rPr>
        <w:t>situations. We are linked directly to our major suppliers, including Peterbilt, GMC, and John Deere,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ectPr>
          <w:pgSz w:w="11900" w:h="16838" w:orient="portrait"/>
          <w:cols w:equalWidth="0" w:num="1">
            <w:col w:w="11440"/>
          </w:cols>
          <w:pgMar w:left="240" w:top="127" w:right="219" w:bottom="0" w:gutter="0" w:footer="0" w:header="0"/>
        </w:sectPr>
      </w:pPr>
    </w:p>
    <w:bookmarkStart w:id="7" w:name="page8"/>
    <w:bookmarkEnd w:id="7"/>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Acquisitions and Dispositions</w:t>
      </w:r>
    </w:p>
    <w:p>
      <w:pPr>
        <w:spacing w:after="0" w:line="213" w:lineRule="exact"/>
        <w:rPr>
          <w:sz w:val="20"/>
          <w:szCs w:val="20"/>
          <w:color w:val="auto"/>
        </w:rPr>
      </w:pPr>
    </w:p>
    <w:p>
      <w:pPr>
        <w:ind w:right="100" w:firstLine="654"/>
        <w:spacing w:after="0" w:line="271" w:lineRule="auto"/>
        <w:rPr>
          <w:sz w:val="20"/>
          <w:szCs w:val="20"/>
          <w:color w:val="auto"/>
        </w:rPr>
      </w:pPr>
      <w:r>
        <w:rPr>
          <w:rFonts w:ascii="Arial" w:cs="Arial" w:eastAsia="Arial" w:hAnsi="Arial"/>
          <w:sz w:val="16"/>
          <w:szCs w:val="16"/>
          <w:color w:val="auto"/>
        </w:rPr>
        <w:t>In June 2008, the Company acquired certain assets of Capital Bus Sales and Service of Texas, Inc., which included a Blue Bird bus franchise for the majority of Texas. The Company is selling buses at most Rush Truck Centers throughout Texas. The transaction was valued at approximately $5.6 million, with the purchase price paid in cash.</w:t>
      </w:r>
    </w:p>
    <w:p>
      <w:pPr>
        <w:spacing w:after="0" w:line="162" w:lineRule="exact"/>
        <w:rPr>
          <w:sz w:val="20"/>
          <w:szCs w:val="20"/>
          <w:color w:val="auto"/>
        </w:rPr>
      </w:pPr>
    </w:p>
    <w:p>
      <w:pPr>
        <w:ind w:right="20" w:firstLine="654"/>
        <w:spacing w:after="0" w:line="327" w:lineRule="auto"/>
        <w:rPr>
          <w:sz w:val="20"/>
          <w:szCs w:val="20"/>
          <w:color w:val="auto"/>
        </w:rPr>
      </w:pPr>
      <w:r>
        <w:rPr>
          <w:rFonts w:ascii="Arial" w:cs="Arial" w:eastAsia="Arial" w:hAnsi="Arial"/>
          <w:sz w:val="14"/>
          <w:szCs w:val="14"/>
          <w:color w:val="auto"/>
        </w:rPr>
        <w:t>In May 2008, the Company acquired certain assets of Peterbilt Carolina, Inc., which included a Peterbilt, Hino and Isuzu heavy- and medium-duty truck dealership in Charlotte, North Carolina. The Company is operating the facility as a full-service Rush Truck Center offering Peterbilt heavy-duty and medium-duty trucks as well as medium-duty trucks manufactured by Hino and Isuzu, and parts and service. The transaction was valued at approximately $13.4 million, with the purchase price paid in cash.</w:t>
      </w:r>
    </w:p>
    <w:p>
      <w:pPr>
        <w:spacing w:after="0" w:line="127" w:lineRule="exact"/>
        <w:rPr>
          <w:sz w:val="20"/>
          <w:szCs w:val="20"/>
          <w:color w:val="auto"/>
        </w:rPr>
      </w:pPr>
    </w:p>
    <w:p>
      <w:pPr>
        <w:ind w:right="240" w:firstLine="654"/>
        <w:spacing w:after="0" w:line="263" w:lineRule="auto"/>
        <w:rPr>
          <w:sz w:val="20"/>
          <w:szCs w:val="20"/>
          <w:color w:val="auto"/>
        </w:rPr>
      </w:pPr>
      <w:r>
        <w:rPr>
          <w:rFonts w:ascii="Arial" w:cs="Arial" w:eastAsia="Arial" w:hAnsi="Arial"/>
          <w:sz w:val="16"/>
          <w:szCs w:val="16"/>
          <w:color w:val="auto"/>
        </w:rPr>
        <w:t>In May 2008, the Company also acquired the common stock of Adams International Trucks, Inc., an International heavy- and medium-duty truck and Workhorse Custom Chassis dealership in Charlotte, North Carolina. The Company is operating the facility as a full-service Rush Truck Center offering International heavy-duty and medium-duty trucks, parts and service and leasing. The transaction was valued at approximately $20.1 million, with the purchase price paid in cash. Included in the acquisition was the purchase of Adams Collision Center. The Company also purchased the real estate used in the operations of Adams International Trucks, Inc. for $6.2 million.</w:t>
      </w:r>
    </w:p>
    <w:p>
      <w:pPr>
        <w:spacing w:after="0" w:line="169" w:lineRule="exact"/>
        <w:rPr>
          <w:sz w:val="20"/>
          <w:szCs w:val="20"/>
          <w:color w:val="auto"/>
        </w:rPr>
      </w:pPr>
    </w:p>
    <w:p>
      <w:pPr>
        <w:ind w:right="240" w:firstLine="654"/>
        <w:spacing w:after="0" w:line="271" w:lineRule="auto"/>
        <w:rPr>
          <w:sz w:val="20"/>
          <w:szCs w:val="20"/>
          <w:color w:val="auto"/>
        </w:rPr>
      </w:pPr>
      <w:r>
        <w:rPr>
          <w:rFonts w:ascii="Arial" w:cs="Arial" w:eastAsia="Arial" w:hAnsi="Arial"/>
          <w:sz w:val="16"/>
          <w:szCs w:val="16"/>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162" w:lineRule="exact"/>
        <w:rPr>
          <w:sz w:val="20"/>
          <w:szCs w:val="20"/>
          <w:color w:val="auto"/>
        </w:rPr>
      </w:pPr>
    </w:p>
    <w:p>
      <w:pPr>
        <w:ind w:firstLine="654"/>
        <w:spacing w:after="0" w:line="271" w:lineRule="auto"/>
        <w:rPr>
          <w:sz w:val="20"/>
          <w:szCs w:val="20"/>
          <w:color w:val="auto"/>
        </w:rPr>
      </w:pPr>
      <w:r>
        <w:rPr>
          <w:rFonts w:ascii="Arial" w:cs="Arial" w:eastAsia="Arial" w:hAnsi="Arial"/>
          <w:sz w:val="16"/>
          <w:szCs w:val="16"/>
          <w:color w:val="auto"/>
        </w:rPr>
        <w:t>In March 2007, the Company purchased certain assets of Allen-Jensen, Inc., which consisted of a GMC and Isuzu truck dealership in Waco, Texas. The Company is operating the facility as a full-service Rush Truck Center offering Peterbilt heavy- and medium-duty trucks as well as medium-duty trucks manufactured by GMC and Isuzu, and parts and service. The transaction was valued at approximately $6.3 million, with the purchase price paid in cash.</w:t>
      </w:r>
    </w:p>
    <w:p>
      <w:pPr>
        <w:spacing w:after="0" w:line="162" w:lineRule="exact"/>
        <w:rPr>
          <w:sz w:val="20"/>
          <w:szCs w:val="20"/>
          <w:color w:val="auto"/>
        </w:rPr>
      </w:pPr>
    </w:p>
    <w:p>
      <w:pPr>
        <w:ind w:right="100" w:firstLine="654"/>
        <w:spacing w:after="0" w:line="266"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17 of the Notes to Consolidated Financial Statements for a detailed discussion of the allocation of the purchase price of these acquisitions.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3" w:lineRule="exact"/>
        <w:rPr>
          <w:sz w:val="20"/>
          <w:szCs w:val="20"/>
          <w:color w:val="auto"/>
        </w:rPr>
      </w:pPr>
    </w:p>
    <w:p>
      <w:pPr>
        <w:ind w:right="60" w:firstLine="654"/>
        <w:spacing w:after="0" w:line="286" w:lineRule="auto"/>
        <w:rPr>
          <w:sz w:val="20"/>
          <w:szCs w:val="20"/>
          <w:color w:val="auto"/>
        </w:rPr>
      </w:pPr>
      <w:r>
        <w:rPr>
          <w:rFonts w:ascii="Arial" w:cs="Arial" w:eastAsia="Arial" w:hAnsi="Arial"/>
          <w:sz w:val="16"/>
          <w:szCs w:val="16"/>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50" w:lineRule="exact"/>
        <w:rPr>
          <w:sz w:val="20"/>
          <w:szCs w:val="20"/>
          <w:color w:val="auto"/>
        </w:rPr>
      </w:pPr>
    </w:p>
    <w:p>
      <w:pPr>
        <w:ind w:left="840" w:hanging="253"/>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accessibility of dealership locations;</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dealership locations;</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price, value, quality and design of the products sold; and</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attention to customer service (including technical service).</w:t>
      </w:r>
    </w:p>
    <w:p>
      <w:pPr>
        <w:spacing w:after="0" w:line="209" w:lineRule="exact"/>
        <w:rPr>
          <w:sz w:val="20"/>
          <w:szCs w:val="20"/>
          <w:color w:val="auto"/>
        </w:rPr>
      </w:pPr>
    </w:p>
    <w:p>
      <w:pPr>
        <w:ind w:right="60" w:firstLine="654"/>
        <w:spacing w:after="0" w:line="286" w:lineRule="auto"/>
        <w:rPr>
          <w:sz w:val="20"/>
          <w:szCs w:val="20"/>
          <w:color w:val="auto"/>
        </w:rPr>
      </w:pPr>
      <w:r>
        <w:rPr>
          <w:rFonts w:ascii="Arial" w:cs="Arial" w:eastAsia="Arial" w:hAnsi="Arial"/>
          <w:sz w:val="16"/>
          <w:szCs w:val="16"/>
          <w:color w:val="auto"/>
        </w:rPr>
        <w:t>Our new truck products compete with trucks made by other manufacturers and sold through competing independent and factory-owned truck dealerships, including trucks manufactured by Navistar, Mack, Freightliner,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Kenworth, Volvo, Western Star Truck Holdings, Ltd., and other manufacturers. Kenworth heavy-duty trucks are also manufactured by PACCAR, Peterbilt’s parent company, but are distributed through a different network of competing dealers. Our construction equipment products compete with construction equipment manufactured by Case, Caterpillar, Komatsu and other manufacturers. We believe that our dealerships are able to compete with manufacturer-owned dealers, independent dealers, wholesalers, rental service companies and industrial auctioneers in distributing our products because of the following: the overall quality and reputation of the products we sell; “Rush” brand name recognition and reputation for quality service; and our ability to provide comprehensive parts and service support, as well as financing, insurance and other customer services.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Dealership Agreements</w:t>
      </w:r>
    </w:p>
    <w:p>
      <w:pPr>
        <w:spacing w:after="0" w:line="213" w:lineRule="exact"/>
        <w:rPr>
          <w:sz w:val="20"/>
          <w:szCs w:val="20"/>
          <w:color w:val="auto"/>
        </w:rPr>
      </w:pPr>
    </w:p>
    <w:p>
      <w:pPr>
        <w:ind w:firstLine="654"/>
        <w:spacing w:after="0" w:line="277" w:lineRule="auto"/>
        <w:rPr>
          <w:sz w:val="20"/>
          <w:szCs w:val="20"/>
          <w:color w:val="auto"/>
        </w:rPr>
      </w:pPr>
      <w:r>
        <w:rPr>
          <w:rFonts w:ascii="Arial" w:cs="Arial" w:eastAsia="Arial" w:hAnsi="Arial"/>
          <w:sz w:val="15"/>
          <w:szCs w:val="15"/>
          <w:i w:val="1"/>
          <w:iCs w:val="1"/>
          <w:color w:val="auto"/>
        </w:rPr>
        <w:t xml:space="preserve">Peterbilt. </w:t>
      </w:r>
      <w:r>
        <w:rPr>
          <w:rFonts w:ascii="Arial" w:cs="Arial" w:eastAsia="Arial" w:hAnsi="Arial"/>
          <w:sz w:val="15"/>
          <w:szCs w:val="15"/>
          <w:color w:val="auto"/>
        </w:rPr>
        <w:t>We have entered into nonexclusive dealership agreements with Peterbilt which authorize us to act as a dealer of Peterbilt heavy- and medium-duty trucks.</w:t>
      </w:r>
      <w:r>
        <w:rPr>
          <w:rFonts w:ascii="Arial" w:cs="Arial" w:eastAsia="Arial" w:hAnsi="Arial"/>
          <w:sz w:val="15"/>
          <w:szCs w:val="15"/>
          <w:i w:val="1"/>
          <w:iCs w:val="1"/>
          <w:color w:val="auto"/>
        </w:rPr>
        <w:t xml:space="preserve"> </w:t>
      </w:r>
      <w:r>
        <w:rPr>
          <w:rFonts w:ascii="Arial" w:cs="Arial" w:eastAsia="Arial" w:hAnsi="Arial"/>
          <w:sz w:val="15"/>
          <w:szCs w:val="15"/>
          <w:color w:val="auto"/>
        </w:rPr>
        <w:t>Our Peterbilt areas of responsibility currently encompass areas in the states of Alabama, Arizona, California, Colorado, Florida, New Mexico, North Carolina, Oklahoma, Tennessee and Texas. These dealership agreements currently have terms expiring between March 2009 and May 2011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30%.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 Any termination or non-renewal of these dealership agreements by Peterbilt must follow certain guidelines established by both state and federal legislation designed to protect motor vehicle dealers from arbitrary termination or non-renewal of franchise agreements. The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65" w:lineRule="exact"/>
        <w:rPr>
          <w:sz w:val="20"/>
          <w:szCs w:val="20"/>
          <w:color w:val="auto"/>
        </w:rPr>
      </w:pPr>
    </w:p>
    <w:p>
      <w:pPr>
        <w:ind w:right="340" w:firstLine="654"/>
        <w:spacing w:after="0" w:line="286" w:lineRule="auto"/>
        <w:rPr>
          <w:sz w:val="20"/>
          <w:szCs w:val="20"/>
          <w:color w:val="auto"/>
        </w:rPr>
      </w:pPr>
      <w:r>
        <w:rPr>
          <w:rFonts w:ascii="Arial" w:cs="Arial" w:eastAsia="Arial" w:hAnsi="Arial"/>
          <w:sz w:val="16"/>
          <w:szCs w:val="16"/>
          <w:i w:val="1"/>
          <w:iCs w:val="1"/>
          <w:color w:val="auto"/>
        </w:rPr>
        <w:t xml:space="preserve">Other Truck Suppliers. </w:t>
      </w:r>
      <w:r>
        <w:rPr>
          <w:rFonts w:ascii="Arial" w:cs="Arial" w:eastAsia="Arial" w:hAnsi="Arial"/>
          <w:sz w:val="16"/>
          <w:szCs w:val="16"/>
          <w:color w:val="auto"/>
        </w:rPr>
        <w:t>In addition to our truck dealership agreements with Peterbilt, various Rush Truck Centers have entered into dealership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commercial vehicle manufacturers including Ford, GMC, Hino, Isuzu, UD, International, Blue Bird and Volvo.</w:t>
      </w:r>
    </w:p>
    <w:p>
      <w:pPr>
        <w:spacing w:after="0" w:line="150" w:lineRule="exact"/>
        <w:rPr>
          <w:sz w:val="20"/>
          <w:szCs w:val="20"/>
          <w:color w:val="auto"/>
        </w:rPr>
      </w:pPr>
    </w:p>
    <w:p>
      <w:pPr>
        <w:jc w:val="both"/>
        <w:ind w:right="20" w:firstLine="654"/>
        <w:spacing w:after="0" w:line="271" w:lineRule="auto"/>
        <w:rPr>
          <w:sz w:val="20"/>
          <w:szCs w:val="20"/>
          <w:color w:val="auto"/>
        </w:rPr>
      </w:pPr>
      <w:r>
        <w:rPr>
          <w:rFonts w:ascii="Arial" w:cs="Arial" w:eastAsia="Arial" w:hAnsi="Arial"/>
          <w:sz w:val="16"/>
          <w:szCs w:val="16"/>
          <w:color w:val="auto"/>
        </w:rPr>
        <w:t>Sales of non-Peterbilt medium-duty trucks and buses accounted for approximately 8.1% of our total revenues for 2008. These dealership agreements currently have terms expiring between May 2009 and August 2013. These dealership agreements impose operating requirements upon us and require consent from the affected supplier for sale or transfer of such dealership agreement.</w:t>
      </w:r>
    </w:p>
    <w:p>
      <w:pPr>
        <w:spacing w:after="0" w:line="162" w:lineRule="exact"/>
        <w:rPr>
          <w:sz w:val="20"/>
          <w:szCs w:val="20"/>
          <w:color w:val="auto"/>
        </w:rPr>
      </w:pPr>
    </w:p>
    <w:p>
      <w:pPr>
        <w:ind w:right="20" w:firstLine="654"/>
        <w:spacing w:after="0" w:line="315" w:lineRule="auto"/>
        <w:rPr>
          <w:sz w:val="20"/>
          <w:szCs w:val="20"/>
          <w:color w:val="auto"/>
        </w:rPr>
      </w:pPr>
      <w:r>
        <w:rPr>
          <w:rFonts w:ascii="Arial" w:cs="Arial" w:eastAsia="Arial" w:hAnsi="Arial"/>
          <w:sz w:val="14"/>
          <w:szCs w:val="14"/>
          <w:i w:val="1"/>
          <w:iCs w:val="1"/>
          <w:color w:val="auto"/>
        </w:rPr>
        <w:t xml:space="preserve">John Deere. </w:t>
      </w:r>
      <w:r>
        <w:rPr>
          <w:rFonts w:ascii="Arial" w:cs="Arial" w:eastAsia="Arial" w:hAnsi="Arial"/>
          <w:sz w:val="14"/>
          <w:szCs w:val="14"/>
          <w:color w:val="auto"/>
        </w:rPr>
        <w:t>We have entered into a nonexclusive dealership agreement with John Deere which authorizes us to act as a dealer of John Deere construction, utility</w:t>
      </w:r>
      <w:r>
        <w:rPr>
          <w:rFonts w:ascii="Arial" w:cs="Arial" w:eastAsia="Arial" w:hAnsi="Arial"/>
          <w:sz w:val="14"/>
          <w:szCs w:val="14"/>
          <w:i w:val="1"/>
          <w:iCs w:val="1"/>
          <w:color w:val="auto"/>
        </w:rPr>
        <w:t xml:space="preserve"> </w:t>
      </w:r>
      <w:r>
        <w:rPr>
          <w:rFonts w:ascii="Arial" w:cs="Arial" w:eastAsia="Arial" w:hAnsi="Arial"/>
          <w:sz w:val="14"/>
          <w:szCs w:val="14"/>
          <w:color w:val="auto"/>
        </w:rPr>
        <w:t>and forestry equipment. This John Deere dealership agreement has no specified term or duration. Our current area of responsibility for the sale of John Deere construction equipment is the greater Houston, Texas metropolitan area. The John Deere dealership agreement imposes operational obligations and financial requirements of the Company. Similar to the dealership agreements with Peterbilt, the dealership agreement with John Deere is terminable if the outstanding aggregate voting power of W. Marvin Rush and</w:t>
      </w:r>
    </w:p>
    <w:p>
      <w:pPr>
        <w:sectPr>
          <w:pgSz w:w="11900" w:h="16934" w:orient="portrait"/>
          <w:cols w:equalWidth="0" w:num="1">
            <w:col w:w="11420"/>
          </w:cols>
          <w:pgMar w:left="240" w:top="123" w:right="239" w:bottom="0" w:gutter="0" w:footer="0" w:header="0"/>
        </w:sectPr>
      </w:pPr>
    </w:p>
    <w:bookmarkStart w:id="8" w:name="page9"/>
    <w:bookmarkEnd w:id="8"/>
    <w:p>
      <w:pPr>
        <w:ind w:right="20"/>
        <w:spacing w:after="0" w:line="271" w:lineRule="auto"/>
        <w:rPr>
          <w:sz w:val="20"/>
          <w:szCs w:val="20"/>
          <w:color w:val="auto"/>
        </w:rPr>
      </w:pPr>
      <w:r>
        <w:rPr>
          <w:rFonts w:ascii="Arial" w:cs="Arial" w:eastAsia="Arial" w:hAnsi="Arial"/>
          <w:sz w:val="16"/>
          <w:szCs w:val="16"/>
          <w:color w:val="auto"/>
        </w:rPr>
        <w:t>other executives of the Company falls below 25%, grants limited rights of first refusal and imposes certain financial requirements upon us and our dealership. Although some protections exist, construction equipment dealers are not protected from arbitrary termination or non-renewal of dealership agreements by the legislation enacted to protect motor vehicle dealers discussed above.</w:t>
      </w:r>
    </w:p>
    <w:p>
      <w:pPr>
        <w:spacing w:after="0" w:line="162" w:lineRule="exact"/>
        <w:rPr>
          <w:sz w:val="20"/>
          <w:szCs w:val="20"/>
          <w:color w:val="auto"/>
        </w:rPr>
      </w:pPr>
    </w:p>
    <w:p>
      <w:pPr>
        <w:ind w:right="160" w:firstLine="654"/>
        <w:spacing w:after="0" w:line="271" w:lineRule="auto"/>
        <w:rPr>
          <w:sz w:val="20"/>
          <w:szCs w:val="20"/>
          <w:color w:val="auto"/>
        </w:rPr>
      </w:pPr>
      <w:r>
        <w:rPr>
          <w:rFonts w:ascii="Arial" w:cs="Arial" w:eastAsia="Arial" w:hAnsi="Arial"/>
          <w:sz w:val="16"/>
          <w:szCs w:val="16"/>
          <w:i w:val="1"/>
          <w:iCs w:val="1"/>
          <w:color w:val="auto"/>
        </w:rPr>
        <w:t xml:space="preserve">Other Construction Equipment Suppliers. </w:t>
      </w:r>
      <w:r>
        <w:rPr>
          <w:rFonts w:ascii="Arial" w:cs="Arial" w:eastAsia="Arial" w:hAnsi="Arial"/>
          <w:sz w:val="16"/>
          <w:szCs w:val="16"/>
          <w:color w:val="auto"/>
        </w:rPr>
        <w:t>In addition to John Deere, we are an authorized dealer for suppliers of other construction equipment. The terms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vary, but most of these dealership agreements contain termination provisions allowing the supplier to terminate the agreement after a specified notice period (usually 180 days).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Floor Plan Financing</w:t>
      </w:r>
    </w:p>
    <w:p>
      <w:pPr>
        <w:spacing w:after="0" w:line="213" w:lineRule="exact"/>
        <w:rPr>
          <w:sz w:val="20"/>
          <w:szCs w:val="20"/>
          <w:color w:val="auto"/>
        </w:rPr>
      </w:pPr>
    </w:p>
    <w:p>
      <w:pPr>
        <w:jc w:val="both"/>
        <w:ind w:firstLine="654"/>
        <w:spacing w:after="0" w:line="266" w:lineRule="auto"/>
        <w:rPr>
          <w:sz w:val="20"/>
          <w:szCs w:val="20"/>
          <w:color w:val="auto"/>
        </w:rPr>
      </w:pPr>
      <w:r>
        <w:rPr>
          <w:rFonts w:ascii="Arial" w:cs="Arial" w:eastAsia="Arial" w:hAnsi="Arial"/>
          <w:sz w:val="16"/>
          <w:szCs w:val="16"/>
          <w:i w:val="1"/>
          <w:iCs w:val="1"/>
          <w:color w:val="auto"/>
        </w:rPr>
        <w:t xml:space="preserve">Trucks. </w:t>
      </w:r>
      <w:r>
        <w:rPr>
          <w:rFonts w:ascii="Arial" w:cs="Arial" w:eastAsia="Arial" w:hAnsi="Arial"/>
          <w:sz w:val="16"/>
          <w:szCs w:val="16"/>
          <w:color w:val="auto"/>
        </w:rPr>
        <w:t>We finance substantially our entire new truck inventory and the loan value of our used truck inventory under a floor plan arrangement with General Electric</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Corporation (“GE Capital”). Effective August 1, 2007, the Company entered into an Amended and Restated Wholesale Security Agreement with GE Capital. Interest under the floor plan financing agreement is payable monthly and the rate varies from LIBOR plus 1.15% to 1.50% depending on the average aggregate month-end balance of debt. As of December 31, 2008, we had approximately $266.0 million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under our GE Capital floor plan arrangement. GE Capital may terminate this agreement without cause upon 120 days notice.</w:t>
      </w:r>
    </w:p>
    <w:p>
      <w:pPr>
        <w:spacing w:after="0" w:line="209" w:lineRule="exact"/>
        <w:rPr>
          <w:sz w:val="20"/>
          <w:szCs w:val="20"/>
          <w:color w:val="auto"/>
        </w:rPr>
      </w:pPr>
    </w:p>
    <w:p>
      <w:pPr>
        <w:jc w:val="both"/>
        <w:ind w:right="340" w:firstLine="654"/>
        <w:spacing w:after="0" w:line="266" w:lineRule="auto"/>
        <w:rPr>
          <w:sz w:val="20"/>
          <w:szCs w:val="20"/>
          <w:color w:val="auto"/>
        </w:rPr>
      </w:pPr>
      <w:r>
        <w:rPr>
          <w:rFonts w:ascii="Arial" w:cs="Arial" w:eastAsia="Arial" w:hAnsi="Arial"/>
          <w:sz w:val="16"/>
          <w:szCs w:val="16"/>
          <w:i w:val="1"/>
          <w:iCs w:val="1"/>
          <w:color w:val="auto"/>
        </w:rPr>
        <w:t xml:space="preserve">Construction Equipment. </w:t>
      </w:r>
      <w:r>
        <w:rPr>
          <w:rFonts w:ascii="Arial" w:cs="Arial" w:eastAsia="Arial" w:hAnsi="Arial"/>
          <w:sz w:val="16"/>
          <w:szCs w:val="16"/>
          <w:color w:val="auto"/>
        </w:rPr>
        <w:t>We finance substantially our entire new construction equipment inventory under floor plan facilities with John Deere and JPMorgan</w:t>
      </w:r>
      <w:r>
        <w:rPr>
          <w:rFonts w:ascii="Arial" w:cs="Arial" w:eastAsia="Arial" w:hAnsi="Arial"/>
          <w:sz w:val="16"/>
          <w:szCs w:val="16"/>
          <w:i w:val="1"/>
          <w:iCs w:val="1"/>
          <w:color w:val="auto"/>
        </w:rPr>
        <w:t xml:space="preserve"> </w:t>
      </w:r>
      <w:r>
        <w:rPr>
          <w:rFonts w:ascii="Arial" w:cs="Arial" w:eastAsia="Arial" w:hAnsi="Arial"/>
          <w:sz w:val="16"/>
          <w:szCs w:val="16"/>
          <w:color w:val="auto"/>
        </w:rPr>
        <w:t>Chase (“Chase”). Our John Deere facility has no set expiration date and its interest rate is the prime rate plus 1.5%. The facility with Chase expires in June 2009 and the interest rate is the prime rate less 1.5%. As of December 31, 2008, we had $3.7 million outstanding under the floor plan arrangement with John Deere and $13.0 million outstanding under the floor plan arrangement with Chase.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13" w:lineRule="exact"/>
        <w:rPr>
          <w:sz w:val="20"/>
          <w:szCs w:val="20"/>
          <w:color w:val="auto"/>
        </w:rPr>
      </w:pPr>
    </w:p>
    <w:p>
      <w:pPr>
        <w:ind w:right="80" w:firstLine="654"/>
        <w:spacing w:after="0" w:line="322" w:lineRule="auto"/>
        <w:rPr>
          <w:sz w:val="20"/>
          <w:szCs w:val="20"/>
          <w:color w:val="auto"/>
        </w:rPr>
      </w:pPr>
      <w:r>
        <w:rPr>
          <w:rFonts w:ascii="Arial" w:cs="Arial" w:eastAsia="Arial" w:hAnsi="Arial"/>
          <w:sz w:val="15"/>
          <w:szCs w:val="15"/>
          <w:color w:val="auto"/>
        </w:rPr>
        <w:t>The manufacturers we represent provide retail purchasers of their products with a limited warranty against defects in materials and workmanship, excluding certain specified components that are separately warranted by the suppliers of such components. We do not undertake to provide any warranty to our customers.</w:t>
      </w:r>
    </w:p>
    <w:p>
      <w:pPr>
        <w:spacing w:after="0" w:line="126" w:lineRule="exact"/>
        <w:rPr>
          <w:sz w:val="20"/>
          <w:szCs w:val="20"/>
          <w:color w:val="auto"/>
        </w:rPr>
      </w:pPr>
    </w:p>
    <w:p>
      <w:pPr>
        <w:ind w:right="40" w:firstLine="654"/>
        <w:spacing w:after="0" w:line="271" w:lineRule="auto"/>
        <w:rPr>
          <w:sz w:val="20"/>
          <w:szCs w:val="20"/>
          <w:color w:val="auto"/>
        </w:rPr>
      </w:pPr>
      <w:r>
        <w:rPr>
          <w:rFonts w:ascii="Arial" w:cs="Arial" w:eastAsia="Arial" w:hAnsi="Arial"/>
          <w:sz w:val="16"/>
          <w:szCs w:val="16"/>
          <w:color w:val="auto"/>
        </w:rPr>
        <w:t>We generally sell used trucks and construction equipment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trucks or used construction equipment.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213" w:lineRule="exact"/>
        <w:rPr>
          <w:sz w:val="20"/>
          <w:szCs w:val="20"/>
          <w:color w:val="auto"/>
        </w:rPr>
      </w:pPr>
    </w:p>
    <w:p>
      <w:pPr>
        <w:ind w:right="100" w:firstLine="654"/>
        <w:spacing w:after="0" w:line="262" w:lineRule="auto"/>
        <w:rPr>
          <w:sz w:val="20"/>
          <w:szCs w:val="20"/>
          <w:color w:val="auto"/>
        </w:rPr>
      </w:pPr>
      <w:r>
        <w:rPr>
          <w:rFonts w:ascii="Arial" w:cs="Arial" w:eastAsia="Arial" w:hAnsi="Arial"/>
          <w:sz w:val="16"/>
          <w:szCs w:val="16"/>
          <w:color w:val="auto"/>
        </w:rPr>
        <w:t>The Peterbilt, John Deere, Volvo, GMC, Hino, Isuzu, Ford, International, Blue Bird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recognized internationally and are important in the marketing of our products. Each licensor engages in a continuous program of trademark and trade name protection. We hold registered trademarks from the U.S. Patent and Trademark Office for the names “Rush Enterprises,” “Rush Truck Center,” “Rush Equipment Center,” “Associated Truck Insurance Services” and “Chrome Country.” We currently have trademark applications for “Rig Tough” pending before the U.S. Patent and Trademark Office.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3" w:lineRule="exact"/>
        <w:rPr>
          <w:sz w:val="20"/>
          <w:szCs w:val="20"/>
          <w:color w:val="auto"/>
        </w:rPr>
      </w:pPr>
    </w:p>
    <w:p>
      <w:pPr>
        <w:ind w:right="260" w:firstLine="654"/>
        <w:spacing w:after="0" w:line="286" w:lineRule="auto"/>
        <w:rPr>
          <w:sz w:val="20"/>
          <w:szCs w:val="20"/>
          <w:color w:val="auto"/>
        </w:rPr>
      </w:pPr>
      <w:r>
        <w:rPr>
          <w:rFonts w:ascii="Arial" w:cs="Arial" w:eastAsia="Arial" w:hAnsi="Arial"/>
          <w:sz w:val="16"/>
          <w:szCs w:val="16"/>
          <w:color w:val="auto"/>
        </w:rPr>
        <w:t>On December 31, 2008, the Company had 2,706 employees. The Company has no contracts or collective bargaining agreements with labor unions and has never experienced work stoppages. The Company considers its relations with its employees to be good.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3" w:lineRule="exact"/>
        <w:rPr>
          <w:sz w:val="20"/>
          <w:szCs w:val="20"/>
          <w:color w:val="auto"/>
        </w:rPr>
      </w:pPr>
    </w:p>
    <w:p>
      <w:pPr>
        <w:ind w:right="340" w:firstLine="589"/>
        <w:spacing w:after="0" w:line="266" w:lineRule="auto"/>
        <w:rPr>
          <w:sz w:val="20"/>
          <w:szCs w:val="20"/>
          <w:color w:val="auto"/>
        </w:rPr>
      </w:pPr>
      <w:r>
        <w:rPr>
          <w:rFonts w:ascii="Arial" w:cs="Arial" w:eastAsia="Arial" w:hAnsi="Arial"/>
          <w:sz w:val="16"/>
          <w:szCs w:val="16"/>
          <w:color w:val="auto"/>
        </w:rPr>
        <w:t>The Company’s heavy-duty truck business is moderately seasonal. Seasonal effects on new truck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truck parts and service operations historically have experienced higher sales volumes in the second and third quarters.</w:t>
      </w:r>
    </w:p>
    <w:p>
      <w:pPr>
        <w:spacing w:after="0" w:line="166" w:lineRule="exact"/>
        <w:rPr>
          <w:sz w:val="20"/>
          <w:szCs w:val="20"/>
          <w:color w:val="auto"/>
        </w:rPr>
      </w:pPr>
    </w:p>
    <w:p>
      <w:pPr>
        <w:ind w:right="400" w:firstLine="654"/>
        <w:spacing w:after="0" w:line="266" w:lineRule="auto"/>
        <w:rPr>
          <w:sz w:val="20"/>
          <w:szCs w:val="20"/>
          <w:color w:val="auto"/>
        </w:rPr>
      </w:pPr>
      <w:r>
        <w:rPr>
          <w:rFonts w:ascii="Arial" w:cs="Arial" w:eastAsia="Arial" w:hAnsi="Arial"/>
          <w:sz w:val="16"/>
          <w:szCs w:val="16"/>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213" w:lineRule="exact"/>
        <w:rPr>
          <w:sz w:val="20"/>
          <w:szCs w:val="20"/>
          <w:color w:val="auto"/>
        </w:rPr>
      </w:pPr>
    </w:p>
    <w:p>
      <w:pPr>
        <w:ind w:right="40" w:firstLine="589"/>
        <w:spacing w:after="0" w:line="297" w:lineRule="auto"/>
        <w:rPr>
          <w:sz w:val="20"/>
          <w:szCs w:val="20"/>
          <w:color w:val="auto"/>
        </w:rPr>
      </w:pPr>
      <w:r>
        <w:rPr>
          <w:rFonts w:ascii="Arial" w:cs="Arial" w:eastAsia="Arial" w:hAnsi="Arial"/>
          <w:sz w:val="15"/>
          <w:szCs w:val="15"/>
          <w:color w:val="auto"/>
        </w:rPr>
        <w:t>On December 31, 2008, the Company’s backlog of truck orders was approximately $106.2 million as compared to a backlog of truck orders of approximately $216.0 million on December 31, 2007. The Company includes only confirmed orders in its backlog. The delivery time for a custom-ordered truck varies depending on the truck specifications and demand for the particular model ordered, however, the Company expects to fill all of its backlog orders during 2009.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Company sells the majority of its new trucks by customer special order, with the remainder sold out of inventory. Orders from a number of the Company’s major fleet customers are included in the Company’s backlog as of December 31, 2008.</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Standards and Other Governmental Regulations</w:t>
      </w:r>
    </w:p>
    <w:p>
      <w:pPr>
        <w:spacing w:after="0" w:line="213" w:lineRule="exact"/>
        <w:rPr>
          <w:sz w:val="20"/>
          <w:szCs w:val="20"/>
          <w:color w:val="auto"/>
        </w:rPr>
      </w:pPr>
    </w:p>
    <w:p>
      <w:pPr>
        <w:ind w:right="620" w:firstLine="654"/>
        <w:spacing w:after="0" w:line="322" w:lineRule="auto"/>
        <w:rPr>
          <w:sz w:val="20"/>
          <w:szCs w:val="20"/>
          <w:color w:val="auto"/>
        </w:rPr>
      </w:pPr>
      <w:r>
        <w:rPr>
          <w:rFonts w:ascii="Arial" w:cs="Arial" w:eastAsia="Arial" w:hAnsi="Arial"/>
          <w:sz w:val="15"/>
          <w:szCs w:val="15"/>
          <w:color w:val="auto"/>
        </w:rPr>
        <w:t>Our operations are subject to numerous federal, state and local laws and regulations, including laws and regulations designed to protect the environment by regulating the discharge of materials into the environment. EPA emission guidelines have traditionally had a major impact on our operations.</w:t>
      </w:r>
    </w:p>
    <w:p>
      <w:pPr>
        <w:spacing w:after="0" w:line="126" w:lineRule="exact"/>
        <w:rPr>
          <w:sz w:val="20"/>
          <w:szCs w:val="20"/>
          <w:color w:val="auto"/>
        </w:rPr>
      </w:pPr>
    </w:p>
    <w:p>
      <w:pPr>
        <w:ind w:right="160" w:firstLine="654"/>
        <w:spacing w:after="0" w:line="362" w:lineRule="auto"/>
        <w:rPr>
          <w:sz w:val="20"/>
          <w:szCs w:val="20"/>
          <w:color w:val="auto"/>
        </w:rPr>
      </w:pPr>
      <w:r>
        <w:rPr>
          <w:rFonts w:ascii="Arial" w:cs="Arial" w:eastAsia="Arial" w:hAnsi="Arial"/>
          <w:sz w:val="14"/>
          <w:szCs w:val="14"/>
          <w:color w:val="auto"/>
        </w:rPr>
        <w:t>EPA emissions guidelines regarding nitrous oxides are scheduled to go into effect for all diesel engines built subsequent to January 1, 2010. Based on current economic and market conditions, the Company does not expect a strong pre-buy of Class 8 trucks to occur in 2009. The magnitude of any pre-buy will be largely dependent</w:t>
      </w:r>
    </w:p>
    <w:p>
      <w:pPr>
        <w:sectPr>
          <w:pgSz w:w="11900" w:h="16838" w:orient="portrait"/>
          <w:cols w:equalWidth="0" w:num="1">
            <w:col w:w="11420"/>
          </w:cols>
          <w:pgMar w:left="240" w:top="127" w:right="239" w:bottom="0" w:gutter="0" w:footer="0" w:header="0"/>
        </w:sectPr>
      </w:pPr>
    </w:p>
    <w:bookmarkStart w:id="9" w:name="page10"/>
    <w:bookmarkEnd w:id="9"/>
    <w:p>
      <w:pPr>
        <w:ind w:right="80"/>
        <w:spacing w:after="0" w:line="271" w:lineRule="auto"/>
        <w:rPr>
          <w:sz w:val="20"/>
          <w:szCs w:val="20"/>
          <w:color w:val="auto"/>
        </w:rPr>
      </w:pPr>
      <w:r>
        <w:rPr>
          <w:rFonts w:ascii="Arial" w:cs="Arial" w:eastAsia="Arial" w:hAnsi="Arial"/>
          <w:sz w:val="16"/>
          <w:szCs w:val="16"/>
          <w:color w:val="auto"/>
        </w:rPr>
        <w:t>upon general economic conditions in the U.S. The EPA has also passed regulations requiring manufacturers to install on-board diagnostic systems that monitor the functioning of emission control components and alert the vehicle operator to any detected need for emission-related repair on 2010 and later heavy- and medium-duty trucks, which could also impact demand for trucks.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3" w:lineRule="exact"/>
        <w:rPr>
          <w:sz w:val="20"/>
          <w:szCs w:val="20"/>
          <w:color w:val="auto"/>
        </w:rPr>
      </w:pPr>
    </w:p>
    <w:p>
      <w:pPr>
        <w:ind w:right="120" w:firstLine="589"/>
        <w:spacing w:after="0" w:line="263" w:lineRule="auto"/>
        <w:rPr>
          <w:sz w:val="20"/>
          <w:szCs w:val="20"/>
          <w:color w:val="auto"/>
        </w:rPr>
      </w:pPr>
      <w:r>
        <w:rPr>
          <w:rFonts w:ascii="Arial" w:cs="Arial" w:eastAsia="Arial" w:hAnsi="Arial"/>
          <w:sz w:val="16"/>
          <w:szCs w:val="16"/>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Please note that additional risks not presently known to us or that we currently deem immaterial may also impair our business and operations. This report is qualified in its entirety by these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1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i w:val="1"/>
          <w:iCs w:val="1"/>
          <w:color w:val="auto"/>
        </w:rPr>
        <w:t>Our results of operations and financial condition have been and could continue to be adversely affected by the conditions in the credit markets and the declining economic conditions in the United States.</w:t>
      </w:r>
    </w:p>
    <w:p>
      <w:pPr>
        <w:spacing w:after="0" w:line="150" w:lineRule="exact"/>
        <w:rPr>
          <w:sz w:val="20"/>
          <w:szCs w:val="20"/>
          <w:color w:val="auto"/>
        </w:rPr>
      </w:pPr>
    </w:p>
    <w:p>
      <w:pPr>
        <w:ind w:firstLine="400"/>
        <w:spacing w:after="0" w:line="261" w:lineRule="auto"/>
        <w:rPr>
          <w:sz w:val="20"/>
          <w:szCs w:val="20"/>
          <w:color w:val="auto"/>
        </w:rPr>
      </w:pPr>
      <w:r>
        <w:rPr>
          <w:rFonts w:ascii="Arial" w:cs="Arial" w:eastAsia="Arial" w:hAnsi="Arial"/>
          <w:sz w:val="16"/>
          <w:szCs w:val="16"/>
          <w:color w:val="auto"/>
        </w:rPr>
        <w:t>The recent turmoil in the credit markets has resulted in tighter credit conditions and has adversely impacted our business. In the commercial vehicle and construction equipment finance markets, tight credit conditions have resulted in a decrease in the availability of commercial vehicle and construction equipment loans and have led to more stringent lending restrictions. The decrease in availability of credit has adversely impacted demand for new and used construction equipment. Additionally, the declining economic conditions in the United States have adversely impacted general demand for new and used commercial vehicles and construction equipment. As a result, our new and used commercial vehicle and construction equipment sales and margins have been adversely impacted. If the unfavorable economic conditions continue and the availability of financing options remains limited, we anticipate that our commercial vehicle and construction equipment sales and margins will continue to be adversely impacted.</w:t>
      </w:r>
    </w:p>
    <w:p>
      <w:pPr>
        <w:spacing w:after="0" w:line="169" w:lineRule="exact"/>
        <w:rPr>
          <w:sz w:val="20"/>
          <w:szCs w:val="20"/>
          <w:color w:val="auto"/>
        </w:rPr>
      </w:pPr>
    </w:p>
    <w:p>
      <w:pPr>
        <w:ind w:right="160" w:firstLine="400"/>
        <w:spacing w:after="0" w:line="266" w:lineRule="auto"/>
        <w:rPr>
          <w:sz w:val="20"/>
          <w:szCs w:val="20"/>
          <w:color w:val="auto"/>
        </w:rPr>
      </w:pPr>
      <w:r>
        <w:rPr>
          <w:rFonts w:ascii="Arial" w:cs="Arial" w:eastAsia="Arial" w:hAnsi="Arial"/>
          <w:sz w:val="16"/>
          <w:szCs w:val="16"/>
          <w:color w:val="auto"/>
        </w:rPr>
        <w:t>Market conditions could also make it more difficult for us to raise additional capital or obtain additional financing to fund capital expenditure projects or acquisitions. We cannot be certain that additional funds will be available if needed and to the extent required or, if available, on acceptable terms. If we cannot raise necessary additional funds on acceptable terms, there could be an adverse impact on our business and operations. We also may not be able to fund expansion, take advantage of future opportunities or respond to competitive pressures or unanticipated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substantially dependent upon PACCAR for the supply of Peterbilt trucks and parts, the sale of which generate a substantial part of our revenues.</w:t>
      </w:r>
    </w:p>
    <w:p>
      <w:pPr>
        <w:spacing w:after="0" w:line="209" w:lineRule="exact"/>
        <w:rPr>
          <w:sz w:val="20"/>
          <w:szCs w:val="20"/>
          <w:color w:val="auto"/>
        </w:rPr>
      </w:pPr>
    </w:p>
    <w:p>
      <w:pPr>
        <w:ind w:right="200" w:firstLine="654"/>
        <w:spacing w:after="0" w:line="271" w:lineRule="auto"/>
        <w:rPr>
          <w:sz w:val="20"/>
          <w:szCs w:val="20"/>
          <w:color w:val="auto"/>
        </w:rPr>
      </w:pPr>
      <w:r>
        <w:rPr>
          <w:rFonts w:ascii="Arial" w:cs="Arial" w:eastAsia="Arial" w:hAnsi="Arial"/>
          <w:sz w:val="16"/>
          <w:szCs w:val="16"/>
          <w:color w:val="auto"/>
        </w:rPr>
        <w:t>We currently operate as a dealer of Peterbilt trucks and parts pursuant to dealership agreements with Peterbilt. Peterbilt is a division of PACCAR. During 2008, a significant portion of our revenues resulted from sales of trucks purchased from Peterbilt and parts purchased from PACCAR. Due to our dependence on PACCAR and its Peterbilt division, we believe that the long-term success of our Rush Truck Centers depends, in large part, on 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840" w:hanging="253"/>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maintaining our relationship with PACCAR;</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manufacture and delivery of competitively-priced, high quality Peterbilt trucks and parts by PACCAR in quantities sufficient to meet our requirements;</w:t>
      </w:r>
    </w:p>
    <w:p>
      <w:pPr>
        <w:spacing w:after="0" w:line="220" w:lineRule="exact"/>
        <w:rPr>
          <w:rFonts w:ascii="Arial" w:cs="Arial" w:eastAsia="Arial" w:hAnsi="Arial"/>
          <w:sz w:val="15"/>
          <w:szCs w:val="15"/>
          <w:color w:val="auto"/>
        </w:rPr>
      </w:pPr>
    </w:p>
    <w:p>
      <w:pPr>
        <w:ind w:left="840" w:hanging="253"/>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overall success of PACCAR and Peterbilt;</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PACCAR’s continuation of its Peterbilt division;</w:t>
      </w:r>
    </w:p>
    <w:p>
      <w:pPr>
        <w:spacing w:after="0" w:line="208" w:lineRule="exact"/>
        <w:rPr>
          <w:rFonts w:ascii="Arial" w:cs="Arial" w:eastAsia="Arial" w:hAnsi="Arial"/>
          <w:sz w:val="16"/>
          <w:szCs w:val="16"/>
          <w:color w:val="auto"/>
        </w:rPr>
      </w:pPr>
    </w:p>
    <w:p>
      <w:pPr>
        <w:ind w:left="880" w:right="680" w:hanging="293"/>
        <w:spacing w:after="0" w:line="286" w:lineRule="auto"/>
        <w:tabs>
          <w:tab w:leader="none" w:pos="84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goodwill associated with the Peterbilt trademark, which can be adversely affected by decisions made by PACCAR and the owners of other Peterbilt dealerships; and</w:t>
      </w:r>
    </w:p>
    <w:p>
      <w:pPr>
        <w:spacing w:after="0" w:line="150" w:lineRule="exact"/>
        <w:rPr>
          <w:rFonts w:ascii="Arial" w:cs="Arial" w:eastAsia="Arial" w:hAnsi="Arial"/>
          <w:sz w:val="16"/>
          <w:szCs w:val="16"/>
          <w:color w:val="auto"/>
        </w:rPr>
      </w:pPr>
    </w:p>
    <w:p>
      <w:pPr>
        <w:ind w:left="840" w:hanging="253"/>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management of the Peterbilt dealership system by PACCAR; and</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policy of no direct sales by Peterbilt.</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no control over the management or operation of PACCAR or Peterbilt dealerships that we do not own.</w:t>
      </w:r>
    </w:p>
    <w:p>
      <w:pPr>
        <w:spacing w:after="0" w:line="20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i w:val="1"/>
          <w:iCs w:val="1"/>
          <w:color w:val="auto"/>
        </w:rPr>
        <w:t>Our dealership agreements may be terminable upon a change of control and we cannot control whether or not our controlling shareholder and management maintain their current positions.</w:t>
      </w:r>
    </w:p>
    <w:p>
      <w:pPr>
        <w:spacing w:after="0" w:line="150" w:lineRule="exact"/>
        <w:rPr>
          <w:sz w:val="20"/>
          <w:szCs w:val="20"/>
          <w:color w:val="auto"/>
        </w:rPr>
      </w:pPr>
    </w:p>
    <w:p>
      <w:pPr>
        <w:ind w:firstLine="654"/>
        <w:spacing w:after="0" w:line="276" w:lineRule="auto"/>
        <w:rPr>
          <w:sz w:val="20"/>
          <w:szCs w:val="20"/>
          <w:color w:val="auto"/>
        </w:rPr>
      </w:pPr>
      <w:r>
        <w:rPr>
          <w:rFonts w:ascii="Arial" w:cs="Arial" w:eastAsia="Arial" w:hAnsi="Arial"/>
          <w:sz w:val="15"/>
          <w:szCs w:val="15"/>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W. Marvin Rush’s family members and other executives of the Company decreases below 30% (such persons currently control 34.8% of the aggregate voting power with respect to the election of directors); or (ii) any person or entity other than W. Marvin Rush, W. M. “Rusty” Rush and other Rush executives or any person or entity who has been approved in writing by PACCAR, owns common stock with a greater percentage of the voting power with respect to the election of our directors than W. Marvin Rush and W. M. “Rusty” Rush and other executives of the Company,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 liquidate his Class B common stock to pay estate taxes or otherwise, the change of control provisions of the Peterbilt dealership agreements may be triggered and cause us to lose our critical right to sell Peterbilt products. Our John Deere dealership agreement and some of our medium-duty truck dealership agreements are also terminable if the aggregate voting power of W. Marvin Rush and his family falls below certain percentages, typically 25%. If our dealership agreements with any manufacturer we currently represent are terminated, we will lose the right to purchase such manufacturer’s products and the right to use certain trademarks, which would have a material adverse effect on our operations, revenues and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If state dealer laws are repealed or weakened, our dealerships will be more susceptible to termination, nonrenewal or renegotiation of their dealership agreements.</w:t>
      </w:r>
    </w:p>
    <w:p>
      <w:pPr>
        <w:spacing w:after="0" w:line="220" w:lineRule="exact"/>
        <w:rPr>
          <w:sz w:val="20"/>
          <w:szCs w:val="20"/>
          <w:color w:val="auto"/>
        </w:rPr>
      </w:pPr>
    </w:p>
    <w:p>
      <w:pPr>
        <w:ind w:right="40" w:firstLine="654"/>
        <w:spacing w:after="0" w:line="309" w:lineRule="auto"/>
        <w:rPr>
          <w:sz w:val="20"/>
          <w:szCs w:val="20"/>
          <w:color w:val="auto"/>
        </w:rPr>
      </w:pPr>
      <w:r>
        <w:rPr>
          <w:rFonts w:ascii="Arial" w:cs="Arial" w:eastAsia="Arial" w:hAnsi="Arial"/>
          <w:sz w:val="14"/>
          <w:szCs w:val="14"/>
          <w:color w:val="auto"/>
        </w:rPr>
        <w:t>Our truck dealership agreements impose certain operational obligations and financial requirements on us.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in the states in which we operate dealerships, our manufacturers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w:t>
      </w:r>
    </w:p>
    <w:p>
      <w:pPr>
        <w:sectPr>
          <w:pgSz w:w="11900" w:h="16838" w:orient="portrait"/>
          <w:cols w:equalWidth="0" w:num="1">
            <w:col w:w="11420"/>
          </w:cols>
          <w:pgMar w:left="240" w:top="127" w:right="239" w:bottom="0" w:gutter="0" w:footer="0" w:header="0"/>
        </w:sectPr>
      </w:pPr>
    </w:p>
    <w:bookmarkStart w:id="10" w:name="page11"/>
    <w:bookmarkEnd w:id="10"/>
    <w:p>
      <w:pPr>
        <w:ind w:right="320"/>
        <w:spacing w:after="0" w:line="286" w:lineRule="auto"/>
        <w:rPr>
          <w:sz w:val="20"/>
          <w:szCs w:val="20"/>
          <w:color w:val="auto"/>
        </w:rPr>
      </w:pPr>
      <w:r>
        <w:rPr>
          <w:rFonts w:ascii="Arial" w:cs="Arial" w:eastAsia="Arial" w:hAnsi="Arial"/>
          <w:sz w:val="16"/>
          <w:szCs w:val="16"/>
          <w:color w:val="auto"/>
        </w:rPr>
        <w:t>our vehicle dealership agreements. Termination or non-renewal of our vehicle dealership agreements could have a material adverse effect on our operations, revenues and profitability.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dealership agreements have relatively short terms which could result in non-renewal or imposition of less favorable terms upon renewal.</w:t>
      </w:r>
    </w:p>
    <w:p>
      <w:pPr>
        <w:spacing w:after="0" w:line="209" w:lineRule="exact"/>
        <w:rPr>
          <w:sz w:val="20"/>
          <w:szCs w:val="20"/>
          <w:color w:val="auto"/>
        </w:rPr>
      </w:pPr>
    </w:p>
    <w:p>
      <w:pPr>
        <w:ind w:right="140" w:firstLine="654"/>
        <w:spacing w:after="0" w:line="282" w:lineRule="auto"/>
        <w:rPr>
          <w:sz w:val="20"/>
          <w:szCs w:val="20"/>
          <w:color w:val="auto"/>
        </w:rPr>
      </w:pPr>
      <w:r>
        <w:rPr>
          <w:rFonts w:ascii="Arial" w:cs="Arial" w:eastAsia="Arial" w:hAnsi="Arial"/>
          <w:sz w:val="15"/>
          <w:szCs w:val="15"/>
          <w:color w:val="auto"/>
        </w:rPr>
        <w:t>Our Peterbilt dealership agreements have current terms expiring between March 2009 and May 2011. Our Volvo dealership agreement has a current term expiring August 2010. Our International dealership agreement has a current term expiring May 2013. Our dealership agreements with GMC, Hino, UD, Ford, Isuzu, and Blue Bird for the sale of medium-duty trucks and buses have current terms expiring between September 2009 and August 2013. Upon expiration of each agreement, we must request and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relationships with component suppliers for sales incentives, discounts and similar programs which are material to our operations.</w:t>
      </w:r>
    </w:p>
    <w:p>
      <w:pPr>
        <w:spacing w:after="0" w:line="209" w:lineRule="exact"/>
        <w:rPr>
          <w:sz w:val="20"/>
          <w:szCs w:val="20"/>
          <w:color w:val="auto"/>
        </w:rPr>
      </w:pPr>
    </w:p>
    <w:p>
      <w:pPr>
        <w:ind w:right="60" w:firstLine="589"/>
        <w:spacing w:after="0" w:line="263" w:lineRule="auto"/>
        <w:rPr>
          <w:sz w:val="20"/>
          <w:szCs w:val="20"/>
          <w:color w:val="auto"/>
        </w:rPr>
      </w:pPr>
      <w:r>
        <w:rPr>
          <w:rFonts w:ascii="Arial" w:cs="Arial" w:eastAsia="Arial" w:hAnsi="Arial"/>
          <w:sz w:val="16"/>
          <w:szCs w:val="16"/>
          <w:color w:val="auto"/>
        </w:rPr>
        <w:t>Each truck we sell is custom-built and each of our customers can choose components from any one of several component suppliers to construct their truck. Therefore, our dealerships depend on the component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or our component suppliers making the same incentives and discounts available to our competitors, could materially adversely affect our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Substantial competition may affect our profitability.</w:t>
      </w:r>
    </w:p>
    <w:p>
      <w:pPr>
        <w:spacing w:after="0" w:line="209" w:lineRule="exact"/>
        <w:rPr>
          <w:sz w:val="20"/>
          <w:szCs w:val="20"/>
          <w:color w:val="auto"/>
        </w:rPr>
      </w:pPr>
    </w:p>
    <w:p>
      <w:pPr>
        <w:ind w:right="20" w:firstLine="654"/>
        <w:spacing w:after="0" w:line="259" w:lineRule="auto"/>
        <w:rPr>
          <w:sz w:val="20"/>
          <w:szCs w:val="20"/>
          <w:color w:val="auto"/>
        </w:rPr>
      </w:pPr>
      <w:r>
        <w:rPr>
          <w:rFonts w:ascii="Arial" w:cs="Arial" w:eastAsia="Arial" w:hAnsi="Arial"/>
          <w:sz w:val="16"/>
          <w:szCs w:val="16"/>
          <w:color w:val="auto"/>
        </w:rPr>
        <w:t>We face vigorous competition for customers and for suitable dealership locations. We compete with a large number of independent and factory-owned dealers, some of which operate in more than one location, but most of which operate in a single location. There is significant competition both within the markets we currently serve and in markets that we may enter. Moreover, our Peterbilt dealership agreements and our dealership agreements with other manufacturers do not contractually provide us with exclusive dealerships in any territory. Manufacturers we represent could elect to create additional dealers in our market areas in the future. While our dealership agreements generally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may engage in similar activities within our territories. Dealer competition continues to increase and is affected by a number of factors including the accessibility of dealership locations, the number of dealership locations, product pricing, product value, product quality, product design and customer service (including technical service). We anticipate that we will continue to face strong competition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could incur substantial business interruptions during our dealer management system conversion</w:t>
      </w:r>
      <w:r>
        <w:rPr>
          <w:rFonts w:ascii="Arial" w:cs="Arial" w:eastAsia="Arial" w:hAnsi="Arial"/>
          <w:sz w:val="16"/>
          <w:szCs w:val="16"/>
          <w:color w:val="auto"/>
        </w:rPr>
        <w:t>.</w:t>
      </w:r>
    </w:p>
    <w:p>
      <w:pPr>
        <w:spacing w:after="0" w:line="209" w:lineRule="exact"/>
        <w:rPr>
          <w:sz w:val="20"/>
          <w:szCs w:val="20"/>
          <w:color w:val="auto"/>
        </w:rPr>
      </w:pPr>
    </w:p>
    <w:p>
      <w:pPr>
        <w:ind w:right="240" w:firstLine="589"/>
        <w:spacing w:after="0" w:line="262" w:lineRule="auto"/>
        <w:rPr>
          <w:sz w:val="20"/>
          <w:szCs w:val="20"/>
          <w:color w:val="auto"/>
        </w:rPr>
      </w:pPr>
      <w:r>
        <w:rPr>
          <w:rFonts w:ascii="Arial" w:cs="Arial" w:eastAsia="Arial" w:hAnsi="Arial"/>
          <w:sz w:val="16"/>
          <w:szCs w:val="16"/>
          <w:color w:val="auto"/>
        </w:rPr>
        <w:t>We will continue to implement SAP enterprise software and a new SAP dealership management system throughout the organization during 2009 and 2010. The estimated cost of the implementation is approximately $30.0 million to $32.0 million. SAP’s dealership management system will become our sole dealership management system for our existing Rush Truck Centers. We currently operate on a KARMAK Legend Enterprise Solution and our Rush Truck Centers operate on KARMAK Legend dealer management system. By implementing SAP, we believe that we will be able to standardize operational processes throughout our network of Rush Truck Centers. However, if our implementation of SAP is unsuccessful, we could incur substantial business interruptions, including the inability to perform routine business transactions, which could have a significant impact on our financial performance.</w:t>
      </w:r>
    </w:p>
    <w:p>
      <w:pPr>
        <w:spacing w:after="0" w:line="16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50" w:lineRule="exact"/>
        <w:rPr>
          <w:sz w:val="20"/>
          <w:szCs w:val="20"/>
          <w:color w:val="auto"/>
        </w:rPr>
      </w:pPr>
    </w:p>
    <w:p>
      <w:pPr>
        <w:ind w:firstLine="654"/>
        <w:spacing w:after="0" w:line="266" w:lineRule="auto"/>
        <w:rPr>
          <w:sz w:val="20"/>
          <w:szCs w:val="20"/>
          <w:color w:val="auto"/>
        </w:rPr>
      </w:pPr>
      <w:r>
        <w:rPr>
          <w:rFonts w:ascii="Arial" w:cs="Arial" w:eastAsia="Arial" w:hAnsi="Arial"/>
          <w:sz w:val="16"/>
          <w:szCs w:val="16"/>
          <w:color w:val="auto"/>
        </w:rPr>
        <w:t>We believe that our success depends significantly upon the efforts and abilities of our executive management and key employees, including, in particular, W. Marvin Rush and W. M. “Rusty” Rush. Additionally, our business is dependent upon our ability to continue to attract and retain qualified personnel, such as executive officers, managers and sales personnel. The loss of the services of one or more members of our senior management team, including, in particular, W. Marvin Rush or W. M. “Rusty” Rush, could have a material adverse effect on us and materially impair the efficiency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productivity of our operations. In addition, the loss of any of our key employees or the failure to attract additional qualified executive officers, managers and sales personnel could have a material adverse effect on our business and may materially impact the ability of our dealerships to conduct their operations in accordance with our business strategy.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growth is subject to a number of economic risks.</w:t>
      </w:r>
    </w:p>
    <w:p>
      <w:pPr>
        <w:spacing w:after="0" w:line="209" w:lineRule="exact"/>
        <w:rPr>
          <w:sz w:val="20"/>
          <w:szCs w:val="20"/>
          <w:color w:val="auto"/>
        </w:rPr>
      </w:pPr>
    </w:p>
    <w:p>
      <w:pPr>
        <w:ind w:right="200" w:firstLine="589"/>
        <w:spacing w:after="0" w:line="297" w:lineRule="auto"/>
        <w:rPr>
          <w:sz w:val="20"/>
          <w:szCs w:val="20"/>
          <w:color w:val="auto"/>
        </w:rPr>
      </w:pPr>
      <w:r>
        <w:rPr>
          <w:rFonts w:ascii="Arial" w:cs="Arial" w:eastAsia="Arial" w:hAnsi="Arial"/>
          <w:sz w:val="15"/>
          <w:szCs w:val="15"/>
          <w:color w:val="auto"/>
        </w:rPr>
        <w:t>During economic downturns, new and used commercial vehicle and construction equipment retail sales tend to experience periods of decline characterized by oversupply and weak demand. The commercial vehicle and construction equipment retail industries may experience sustained periods of decline in commercial vehicle and construction equipments sales in the future. Any decline or change of this type could materially affect our business, financial condition and results of operations.</w:t>
      </w:r>
    </w:p>
    <w:p>
      <w:pPr>
        <w:spacing w:after="0" w:line="145" w:lineRule="exact"/>
        <w:rPr>
          <w:sz w:val="20"/>
          <w:szCs w:val="20"/>
          <w:color w:val="auto"/>
        </w:rPr>
      </w:pPr>
    </w:p>
    <w:p>
      <w:pPr>
        <w:ind w:right="200" w:firstLine="589"/>
        <w:spacing w:after="0" w:line="271" w:lineRule="auto"/>
        <w:rPr>
          <w:sz w:val="20"/>
          <w:szCs w:val="20"/>
          <w:color w:val="auto"/>
        </w:rPr>
      </w:pPr>
      <w:r>
        <w:rPr>
          <w:rFonts w:ascii="Arial" w:cs="Arial" w:eastAsia="Arial" w:hAnsi="Arial"/>
          <w:sz w:val="16"/>
          <w:szCs w:val="16"/>
          <w:color w:val="auto"/>
        </w:rPr>
        <w:t>As previously discussed, our business is subject to the adverse economic conditions currently present in the United States, including, without limitation, decreased levels of business activity, decreased freight demand, decreased construction activity, interest rate volatility, and limited credit availability. These adverse economic conditions could materially affect our business, financial condition and results of operations.</w:t>
      </w:r>
    </w:p>
    <w:p>
      <w:pPr>
        <w:spacing w:after="0" w:line="162" w:lineRule="exact"/>
        <w:rPr>
          <w:sz w:val="20"/>
          <w:szCs w:val="20"/>
          <w:color w:val="auto"/>
        </w:rPr>
      </w:pPr>
    </w:p>
    <w:p>
      <w:pPr>
        <w:ind w:right="200" w:firstLine="589"/>
        <w:spacing w:after="0" w:line="271" w:lineRule="auto"/>
        <w:rPr>
          <w:sz w:val="20"/>
          <w:szCs w:val="20"/>
          <w:color w:val="auto"/>
        </w:rPr>
      </w:pPr>
      <w:r>
        <w:rPr>
          <w:rFonts w:ascii="Arial" w:cs="Arial" w:eastAsia="Arial" w:hAnsi="Arial"/>
          <w:sz w:val="16"/>
          <w:szCs w:val="16"/>
          <w:color w:val="auto"/>
        </w:rPr>
        <w:t>Our new commercial vehicle and construction equipment sales may differ from industry sales, due to particular economic conditions and other factors in the geographic markets in which we operate. Adverse regional economic and competitive conditions in these areas could materially affect our business, financial condition and results of operations.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Economic conditions and the other factors described above also may materially adversely impact our sales of finance and insurance products, and parts and repair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services.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be required to obtain additional financing to maintain adequate inventory levels.</w:t>
      </w:r>
    </w:p>
    <w:p>
      <w:pPr>
        <w:sectPr>
          <w:pgSz w:w="11900" w:h="16838" w:orient="portrait"/>
          <w:cols w:equalWidth="0" w:num="1">
            <w:col w:w="11420"/>
          </w:cols>
          <w:pgMar w:left="240" w:top="127" w:right="239" w:bottom="139" w:gutter="0" w:footer="0" w:header="0"/>
        </w:sectPr>
      </w:pPr>
    </w:p>
    <w:bookmarkStart w:id="11" w:name="page12"/>
    <w:bookmarkEnd w:id="11"/>
    <w:p>
      <w:pPr>
        <w:ind w:right="40" w:firstLine="654"/>
        <w:spacing w:after="0" w:line="259" w:lineRule="auto"/>
        <w:rPr>
          <w:sz w:val="20"/>
          <w:szCs w:val="20"/>
          <w:color w:val="auto"/>
        </w:rPr>
      </w:pPr>
      <w:r>
        <w:rPr>
          <w:rFonts w:ascii="Arial" w:cs="Arial" w:eastAsia="Arial" w:hAnsi="Arial"/>
          <w:sz w:val="16"/>
          <w:szCs w:val="16"/>
          <w:color w:val="auto"/>
        </w:rPr>
        <w:t>Our business requires inventories held for sale to be maintained at dealer locations in order to facilitate immediate sales to customers on demand. We generally purchase inventories with the assistance of floor plan financing agreements. Our floor plan financing agreements are with companies that have exposure to many different industries and counterparties, and routinely execute transactions with counterparties in the financial services industry, including brokers and dealers, commercial banks, investment banks and other institutional clients. Additionally, our floor plan providers may have exposure to financial institutions in the form of equity investments and unsecured debt instruments. Write-downs of mortgage-backed securities, credit default swaps and other derivative securities, have caused many financial institutions to seek additional capital, to merge with larger and stronger institutions and, in some cases, to fail. Many lenders and institutional investors have reduced, and in some cases, ceased to provide funding to borrowers including other financial institutions such as our floor plan providers.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interest rates could have a material adverse effect on our profitability.</w:t>
      </w:r>
    </w:p>
    <w:p>
      <w:pPr>
        <w:spacing w:after="0" w:line="209"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Our floor plan financing agreements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and construction equipment sales, because many of our customers finance these large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Natural disasters and adverse weather events can disrupt our business.</w:t>
      </w:r>
    </w:p>
    <w:p>
      <w:pPr>
        <w:spacing w:after="0" w:line="209"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Our dealerships are concentrated in states and regions in the United States in which actual or threatened natural disasters and severe weather events (such as hurricanes, earthquakes and hail storms) may disrupt our store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subject to certain limitations and exclusions, substantial insurance, we cannot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assure you that we will not be exposed to uninsured or underinsured losses that could have a material adverse effect on our business, financial condition,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dollar amount of our backlog, as stated at any given time, is not necessarily indicative of our future earnings.</w:t>
      </w:r>
    </w:p>
    <w:p>
      <w:pPr>
        <w:spacing w:after="0" w:line="209" w:lineRule="exact"/>
        <w:rPr>
          <w:sz w:val="20"/>
          <w:szCs w:val="20"/>
          <w:color w:val="auto"/>
        </w:rPr>
      </w:pPr>
    </w:p>
    <w:p>
      <w:pPr>
        <w:ind w:right="280" w:firstLine="589"/>
        <w:spacing w:after="0" w:line="286" w:lineRule="auto"/>
        <w:rPr>
          <w:sz w:val="20"/>
          <w:szCs w:val="20"/>
          <w:color w:val="auto"/>
        </w:rPr>
      </w:pPr>
      <w:r>
        <w:rPr>
          <w:rFonts w:ascii="Arial" w:cs="Arial" w:eastAsia="Arial" w:hAnsi="Arial"/>
          <w:sz w:val="16"/>
          <w:szCs w:val="16"/>
          <w:color w:val="auto"/>
        </w:rPr>
        <w:t>As of December 31, 2008, our backlog of new truck orders was approximately $106.2 million. Our backlog is determined quarterly by multiplying the number of new trucks for each particular type of truck on order at our Rush Truck Centers by the recent average selling price for that type of truck.</w:t>
      </w:r>
    </w:p>
    <w:p>
      <w:pPr>
        <w:spacing w:after="0" w:line="150" w:lineRule="exact"/>
        <w:rPr>
          <w:sz w:val="20"/>
          <w:szCs w:val="20"/>
          <w:color w:val="auto"/>
        </w:rPr>
      </w:pPr>
    </w:p>
    <w:p>
      <w:pPr>
        <w:ind w:right="40" w:firstLine="654"/>
        <w:spacing w:after="0" w:line="289" w:lineRule="auto"/>
        <w:rPr>
          <w:sz w:val="20"/>
          <w:szCs w:val="20"/>
          <w:color w:val="auto"/>
        </w:rPr>
      </w:pPr>
      <w:r>
        <w:rPr>
          <w:rFonts w:ascii="Arial" w:cs="Arial" w:eastAsia="Arial" w:hAnsi="Arial"/>
          <w:sz w:val="15"/>
          <w:szCs w:val="15"/>
          <w:color w:val="auto"/>
        </w:rPr>
        <w:t>We only include confirmed orders in our backlog. However, such orders are subject to cancellation. In the event of order cancellation, we have no contractual right to the total revenues reflected in our backlog. The delivery time for a custom-ordered truck varies depending on the truck specifications and demand for the particular model ordered. We sell the majority of our new heavy-duty trucks by customer special order, with the remainder sold out of inventory. Orders from a number of our major fleet customers are included in our backlog as of December 31, 2008. There can be no assurance that our major fleet customers will not cancel these orders.</w:t>
      </w:r>
    </w:p>
    <w:p>
      <w:pPr>
        <w:spacing w:after="0" w:line="150" w:lineRule="exact"/>
        <w:rPr>
          <w:sz w:val="20"/>
          <w:szCs w:val="20"/>
          <w:color w:val="auto"/>
        </w:rPr>
      </w:pPr>
    </w:p>
    <w:p>
      <w:pPr>
        <w:ind w:right="280" w:firstLine="654"/>
        <w:spacing w:after="0" w:line="271" w:lineRule="auto"/>
        <w:rPr>
          <w:sz w:val="20"/>
          <w:szCs w:val="20"/>
          <w:color w:val="auto"/>
        </w:rPr>
      </w:pPr>
      <w:r>
        <w:rPr>
          <w:rFonts w:ascii="Arial" w:cs="Arial" w:eastAsia="Arial" w:hAnsi="Arial"/>
          <w:sz w:val="16"/>
          <w:szCs w:val="16"/>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significantly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dealerships are subject to federal, state and local environmental regulations that may result in claims and liabilities, which could be material.</w:t>
      </w:r>
    </w:p>
    <w:p>
      <w:pPr>
        <w:spacing w:after="0" w:line="209" w:lineRule="exact"/>
        <w:rPr>
          <w:sz w:val="20"/>
          <w:szCs w:val="20"/>
          <w:color w:val="auto"/>
        </w:rPr>
      </w:pPr>
    </w:p>
    <w:p>
      <w:pPr>
        <w:ind w:right="40" w:firstLine="654"/>
        <w:spacing w:after="0" w:line="277" w:lineRule="auto"/>
        <w:rPr>
          <w:sz w:val="20"/>
          <w:szCs w:val="20"/>
          <w:color w:val="auto"/>
        </w:rPr>
      </w:pPr>
      <w:r>
        <w:rPr>
          <w:rFonts w:ascii="Arial" w:cs="Arial" w:eastAsia="Arial" w:hAnsi="Arial"/>
          <w:sz w:val="15"/>
          <w:szCs w:val="15"/>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and other materials; and the investigation and remediation of contamination. As with truck or construction equipment dealerships generally, and service, parts and body shop operations in particular, our business involves the use, storage, handling and contracting for recycling or disposal of hazardous materials or wastes and other environmentally sensitive materials. Operations involving the management of hazardous and nonhazardous materials are subject to requirements of the Resource Conservation and Recovery Act, or RCRA, and comparable state statutes. Our business also involves the operation of storage tanks containing such materials. Storage tanks are subject to periodic testing, containment, upgrading and removal under RCRA and comparable statutes. Furthermore, investigation or remediation may be necessary in the event of leaks or other discharges from current or former underground or aboveground storage tanks. We may also have liability in connection with materials that were sent to third-party recycling, treatment, or disposal facilities under the Comprehensive Environmental Response, Compensation and Liability Act, and comparable state statutes, which impose liability for investigation and remediation of contamination without regard to fault or the legality of the conduct that contributed to the contamination. Similar to many of our competitors, we have incurred and will continue to incur, capital and operating expenditures and other costs in complying with such laws and regulations.</w:t>
      </w:r>
    </w:p>
    <w:p>
      <w:pPr>
        <w:spacing w:after="0" w:line="165" w:lineRule="exact"/>
        <w:rPr>
          <w:sz w:val="20"/>
          <w:szCs w:val="20"/>
          <w:color w:val="auto"/>
        </w:rPr>
      </w:pPr>
    </w:p>
    <w:p>
      <w:pPr>
        <w:ind w:right="120" w:firstLine="654"/>
        <w:spacing w:after="0" w:line="285" w:lineRule="auto"/>
        <w:rPr>
          <w:sz w:val="20"/>
          <w:szCs w:val="20"/>
          <w:color w:val="auto"/>
        </w:rPr>
      </w:pPr>
      <w:r>
        <w:rPr>
          <w:rFonts w:ascii="Arial" w:cs="Arial" w:eastAsia="Arial" w:hAnsi="Arial"/>
          <w:sz w:val="15"/>
          <w:szCs w:val="15"/>
          <w:color w:val="auto"/>
        </w:rPr>
        <w:t>Soil and groundwater contamination is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Negative conditions in global credit markets may impair our investments in auction rate securities.</w:t>
      </w:r>
    </w:p>
    <w:p>
      <w:pPr>
        <w:spacing w:after="0" w:line="209" w:lineRule="exact"/>
        <w:rPr>
          <w:sz w:val="20"/>
          <w:szCs w:val="20"/>
          <w:color w:val="auto"/>
        </w:rPr>
      </w:pPr>
    </w:p>
    <w:p>
      <w:pPr>
        <w:ind w:right="60" w:firstLine="589"/>
        <w:spacing w:after="0" w:line="262" w:lineRule="auto"/>
        <w:rPr>
          <w:sz w:val="20"/>
          <w:szCs w:val="20"/>
          <w:color w:val="auto"/>
        </w:rPr>
      </w:pPr>
      <w:r>
        <w:rPr>
          <w:rFonts w:ascii="Arial" w:cs="Arial" w:eastAsia="Arial" w:hAnsi="Arial"/>
          <w:sz w:val="16"/>
          <w:szCs w:val="16"/>
          <w:color w:val="auto"/>
        </w:rPr>
        <w:t>Auction rate securities (“ARS”) are long-term debt instruments with interest rates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7" w:right="239" w:bottom="0" w:gutter="0" w:footer="0" w:header="0"/>
        </w:sectPr>
      </w:pPr>
    </w:p>
    <w:bookmarkStart w:id="12" w:name="page13"/>
    <w:bookmarkEnd w:id="12"/>
    <w:p>
      <w:pPr>
        <w:spacing w:after="0" w:line="23" w:lineRule="exact"/>
        <w:rPr>
          <w:sz w:val="20"/>
          <w:szCs w:val="20"/>
          <w:color w:val="auto"/>
        </w:rPr>
      </w:pPr>
    </w:p>
    <w:p>
      <w:pPr>
        <w:ind w:right="40" w:firstLine="589"/>
        <w:spacing w:after="0" w:line="278" w:lineRule="auto"/>
        <w:rPr>
          <w:sz w:val="20"/>
          <w:szCs w:val="20"/>
          <w:color w:val="auto"/>
        </w:rPr>
      </w:pPr>
      <w:r>
        <w:rPr>
          <w:rFonts w:ascii="Arial" w:cs="Arial" w:eastAsia="Arial" w:hAnsi="Arial"/>
          <w:sz w:val="15"/>
          <w:szCs w:val="15"/>
          <w:color w:val="auto"/>
        </w:rPr>
        <w:t>As a result of the recent conditions in the global credit markets, we have been unable to liquidate our holdings of certain ARS because the amount of securities submitted for sale has exceeded the amount of purchase orders for such securities and the auctions failed. As of December 31, 2008, the Company holds approximately $7.6 million in ARS. For failed auctions,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adjust the carrying value of the securities and record an impairment charge. If we determine that the fair value of these ARS is temporarily impaired, we would record a temporary impairment within other comprehensive income, a component of stockholders’ equity. If it is determined that the fair value of these securities is other than temporarily impaired, we would record a loss in our Consolidated Statements of Income, which could materially adversely impact our results of operations and financial condition. Additionally, it may become necessary to classify failed ARS holdings as long-term investments in our Consolidated Balance Sheets in future periods. For further discussion of the risks related to our auction rate securities, see Note 7 — Investments of the Notes to Consolidated Financial Statements and Item 7A — Quantitative and Qualitative Disclosures about Market Risk.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controlled by a single shareholder and his affiliates.</w:t>
      </w:r>
    </w:p>
    <w:p>
      <w:pPr>
        <w:spacing w:after="0" w:line="209" w:lineRule="exact"/>
        <w:rPr>
          <w:sz w:val="20"/>
          <w:szCs w:val="20"/>
          <w:color w:val="auto"/>
        </w:rPr>
      </w:pPr>
    </w:p>
    <w:p>
      <w:pPr>
        <w:ind w:firstLine="589"/>
        <w:spacing w:after="0" w:line="289" w:lineRule="auto"/>
        <w:rPr>
          <w:sz w:val="20"/>
          <w:szCs w:val="20"/>
          <w:color w:val="auto"/>
        </w:rPr>
      </w:pPr>
      <w:r>
        <w:rPr>
          <w:rFonts w:ascii="Arial" w:cs="Arial" w:eastAsia="Arial" w:hAnsi="Arial"/>
          <w:sz w:val="15"/>
          <w:szCs w:val="15"/>
          <w:color w:val="auto"/>
        </w:rPr>
        <w:t>W. Marvin Rush owns approximately 0.1% of our issued and outstanding shares of Class A common stock and 38.2% of our issued and outstanding Class B common stock. W. Marvin Rush and W. M. “Rusty” Rush control more than 34.8% of the aggregate voting power of our outstanding shares and voting power which is superior to that of any other person or group. As a result of such ownership, W. Marvin Rush and W. M. “Rusty” Rush have the power to effectively control the Company, including the election of directors, the determination of matters requiring shareholder approval and other matters pertaining to corporate governance.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Class A common stock has limited voting power.</w:t>
      </w:r>
    </w:p>
    <w:p>
      <w:pPr>
        <w:spacing w:after="0" w:line="209" w:lineRule="exact"/>
        <w:rPr>
          <w:sz w:val="20"/>
          <w:szCs w:val="20"/>
          <w:color w:val="auto"/>
        </w:rPr>
      </w:pPr>
    </w:p>
    <w:p>
      <w:pPr>
        <w:ind w:right="420" w:firstLine="589"/>
        <w:spacing w:after="0" w:line="266" w:lineRule="auto"/>
        <w:rPr>
          <w:sz w:val="20"/>
          <w:szCs w:val="20"/>
          <w:color w:val="auto"/>
        </w:rPr>
      </w:pPr>
      <w:r>
        <w:rPr>
          <w:rFonts w:ascii="Arial" w:cs="Arial" w:eastAsia="Arial" w:hAnsi="Arial"/>
          <w:sz w:val="16"/>
          <w:szCs w:val="16"/>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preferred shares. However, holders of Class A common stock have 1/20th of one vote per share on all matters requiring a shareholder vote, while holders of Class B common stock have one full vote per share.</w:t>
      </w:r>
    </w:p>
    <w:p>
      <w:pPr>
        <w:spacing w:after="0" w:line="16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i w:val="1"/>
          <w:iCs w:val="1"/>
          <w:color w:val="auto"/>
        </w:rPr>
        <w:t>Our dealership agreements could discourage another company from acquiring us and impede our ability to issue additional stock to raise capital or as consideration for future acquisitions.</w:t>
      </w:r>
    </w:p>
    <w:p>
      <w:pPr>
        <w:spacing w:after="0" w:line="150" w:lineRule="exact"/>
        <w:rPr>
          <w:sz w:val="20"/>
          <w:szCs w:val="20"/>
          <w:color w:val="auto"/>
        </w:rPr>
      </w:pPr>
    </w:p>
    <w:p>
      <w:pPr>
        <w:ind w:right="20" w:firstLine="589"/>
        <w:spacing w:after="0" w:line="263" w:lineRule="auto"/>
        <w:rPr>
          <w:sz w:val="20"/>
          <w:szCs w:val="20"/>
          <w:color w:val="auto"/>
        </w:rPr>
      </w:pPr>
      <w:r>
        <w:rPr>
          <w:rFonts w:ascii="Arial" w:cs="Arial" w:eastAsia="Arial" w:hAnsi="Arial"/>
          <w:sz w:val="16"/>
          <w:szCs w:val="16"/>
          <w:color w:val="auto"/>
        </w:rPr>
        <w:t>A number of our dealership agreements impose restrictions on the sale and transfer of our common stock. These restrictions also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control of at least 30% of the aggregate voting power of our outstanding shares and voting power equal or superior to that of any other person or group.</w:t>
      </w:r>
    </w:p>
    <w:p>
      <w:pPr>
        <w:spacing w:after="0" w:line="169" w:lineRule="exact"/>
        <w:rPr>
          <w:sz w:val="20"/>
          <w:szCs w:val="20"/>
          <w:color w:val="auto"/>
        </w:rPr>
      </w:pPr>
    </w:p>
    <w:p>
      <w:pPr>
        <w:ind w:firstLine="589"/>
        <w:spacing w:after="0" w:line="260" w:lineRule="auto"/>
        <w:rPr>
          <w:sz w:val="20"/>
          <w:szCs w:val="20"/>
          <w:color w:val="auto"/>
        </w:rPr>
      </w:pPr>
      <w:r>
        <w:rPr>
          <w:rFonts w:ascii="Arial" w:cs="Arial" w:eastAsia="Arial" w:hAnsi="Arial"/>
          <w:sz w:val="16"/>
          <w:szCs w:val="16"/>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and the requirement in our dealership agreements that certain dealer principals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 but our Board of Directors may redeem the rights under the rights plan to accept a favorable offer.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100" w:firstLine="589"/>
        <w:spacing w:after="0" w:line="266" w:lineRule="auto"/>
        <w:rPr>
          <w:sz w:val="20"/>
          <w:szCs w:val="20"/>
          <w:color w:val="auto"/>
        </w:rPr>
      </w:pPr>
      <w:r>
        <w:rPr>
          <w:rFonts w:ascii="Arial" w:cs="Arial" w:eastAsia="Arial" w:hAnsi="Arial"/>
          <w:sz w:val="16"/>
          <w:szCs w:val="16"/>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This may also inhibit our ability to acquire additional dealerships. These restrictions also may impede our ability to raise required capital or to issue our stock as consideration for future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13" w:lineRule="exact"/>
        <w:rPr>
          <w:sz w:val="20"/>
          <w:szCs w:val="20"/>
          <w:color w:val="auto"/>
        </w:rPr>
      </w:pPr>
    </w:p>
    <w:p>
      <w:pPr>
        <w:ind w:right="80" w:firstLine="589"/>
        <w:spacing w:after="0" w:line="263" w:lineRule="auto"/>
        <w:rPr>
          <w:sz w:val="20"/>
          <w:szCs w:val="20"/>
          <w:color w:val="auto"/>
        </w:rPr>
      </w:pPr>
      <w:r>
        <w:rPr>
          <w:rFonts w:ascii="Arial" w:cs="Arial" w:eastAsia="Arial" w:hAnsi="Arial"/>
          <w:sz w:val="16"/>
          <w:szCs w:val="16"/>
          <w:color w:val="auto"/>
        </w:rPr>
        <w:t>The Company’s corporate headquarters are currently located in New Braunfels, Texas. As of December 2008, the Company also owns or leases numerous facilities relating to our operations in the following states: Alabama, Arizona, California, Colorado, Florida, Georgia, New Mexico, North Carolina, Oklahoma, Tennessee and Texas. A Rush Truck Center or Rush Equipment Center may be comprised of one or more locations, generally in close proximity, in the same metropolitan area. These facilities consist primarily of office space, display lots, service facilities, parking lots and offices. The Company believes that its facilities are sufficient for its current needs and are in good condition in all material respects.</w:t>
      </w:r>
    </w:p>
    <w:p>
      <w:pPr>
        <w:spacing w:after="0" w:line="169" w:lineRule="exact"/>
        <w:rPr>
          <w:sz w:val="20"/>
          <w:szCs w:val="20"/>
          <w:color w:val="auto"/>
        </w:rPr>
      </w:pPr>
    </w:p>
    <w:p>
      <w:pPr>
        <w:ind w:right="60" w:firstLine="589"/>
        <w:spacing w:after="0" w:line="289" w:lineRule="auto"/>
        <w:rPr>
          <w:sz w:val="20"/>
          <w:szCs w:val="20"/>
          <w:color w:val="auto"/>
        </w:rPr>
      </w:pPr>
      <w:r>
        <w:rPr>
          <w:rFonts w:ascii="Arial" w:cs="Arial" w:eastAsia="Arial" w:hAnsi="Arial"/>
          <w:sz w:val="15"/>
          <w:szCs w:val="15"/>
          <w:color w:val="auto"/>
        </w:rPr>
        <w:t>The Company’s insurance agency occupies approximately 7,000 square feet of leased space in San Antonio, Texas; 2,000 square feet of leased space in Winter Garden, Florida; 525 square feet of leased space in Austin, Texas; 800 square feet of leased space in Chino, California; and 2,440 square feet of leased space in Laguna Niguel, California. The Company leases a hangar in New Braunfels, Texas for the corporate aircraft. The Company also owns and operates a hunting ranch of approximately 9,500 acres in Cotulla, Texas. The Company uses the ranch for client development purposes and sells hunting trips on the ranch.</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13" w:lineRule="exact"/>
        <w:rPr>
          <w:sz w:val="20"/>
          <w:szCs w:val="20"/>
          <w:color w:val="auto"/>
        </w:rPr>
      </w:pPr>
    </w:p>
    <w:p>
      <w:pPr>
        <w:ind w:firstLine="589"/>
        <w:spacing w:after="0" w:line="282" w:lineRule="auto"/>
        <w:rPr>
          <w:sz w:val="20"/>
          <w:szCs w:val="20"/>
          <w:color w:val="auto"/>
        </w:rPr>
      </w:pPr>
      <w:r>
        <w:rPr>
          <w:rFonts w:ascii="Arial" w:cs="Arial" w:eastAsia="Arial" w:hAnsi="Arial"/>
          <w:sz w:val="15"/>
          <w:szCs w:val="15"/>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Submission of Matters to a Vote of Security Holders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matters were submitted to a vote of the Company’s shareholders during the fourth quarter of the fiscal year ended December 31, 2008.</w:t>
      </w:r>
    </w:p>
    <w:p>
      <w:pPr>
        <w:sectPr>
          <w:pgSz w:w="11900" w:h="16862" w:orient="portrait"/>
          <w:cols w:equalWidth="0" w:num="1">
            <w:col w:w="11420"/>
          </w:cols>
          <w:pgMar w:left="240" w:top="127" w:right="239" w:bottom="0" w:gutter="0" w:footer="0" w:header="0"/>
        </w:sectPr>
      </w:pPr>
    </w:p>
    <w:bookmarkStart w:id="13" w:name="page14"/>
    <w:bookmarkEnd w:id="13"/>
    <w:p>
      <w:pPr>
        <w:jc w:val="center"/>
        <w:ind w:right="38"/>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PART II</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5. Market for Registrant’s Common Equity, Related Shareholder Matters, and Issuer Purchases of Equity Securities</w:t>
      </w:r>
    </w:p>
    <w:p>
      <w:pPr>
        <w:spacing w:after="0" w:line="21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Our common stock trades on The NASDAQ Global Select Market</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under the symbols RUSHA and RUSHB.</w:t>
      </w:r>
    </w:p>
    <w:p>
      <w:pPr>
        <w:spacing w:after="0" w:line="151" w:lineRule="exact"/>
        <w:rPr>
          <w:sz w:val="20"/>
          <w:szCs w:val="20"/>
          <w:color w:val="auto"/>
        </w:rPr>
      </w:pPr>
    </w:p>
    <w:p>
      <w:pPr>
        <w:ind w:left="2" w:right="220" w:firstLine="589"/>
        <w:spacing w:after="0" w:line="295" w:lineRule="auto"/>
        <w:rPr>
          <w:sz w:val="20"/>
          <w:szCs w:val="20"/>
          <w:color w:val="auto"/>
        </w:rPr>
      </w:pPr>
      <w:r>
        <w:rPr>
          <w:rFonts w:ascii="Arial" w:cs="Arial" w:eastAsia="Arial" w:hAnsi="Arial"/>
          <w:sz w:val="16"/>
          <w:szCs w:val="16"/>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21"/>
          <w:szCs w:val="21"/>
          <w:color w:val="auto"/>
          <w:vertAlign w:val="superscript"/>
        </w:rPr>
        <w:t>SM</w:t>
      </w:r>
      <w:r>
        <w:rPr>
          <w:rFonts w:ascii="Arial" w:cs="Arial" w:eastAsia="Arial" w:hAnsi="Arial"/>
          <w:sz w:val="16"/>
          <w:szCs w:val="16"/>
          <w:color w:val="auto"/>
        </w:rPr>
        <w:t>.</w:t>
      </w:r>
    </w:p>
    <w:p>
      <w:pPr>
        <w:spacing w:after="0" w:line="58" w:lineRule="exact"/>
        <w:rPr>
          <w:sz w:val="20"/>
          <w:szCs w:val="20"/>
          <w:color w:val="auto"/>
        </w:rPr>
      </w:pPr>
    </w:p>
    <w:tbl>
      <w:tblPr>
        <w:tblLayout w:type="fixed"/>
        <w:tblInd w:w="1162" w:type="dxa"/>
        <w:tblCellMar>
          <w:top w:w="0" w:type="dxa"/>
          <w:left w:w="0" w:type="dxa"/>
          <w:bottom w:w="0" w:type="dxa"/>
          <w:right w:w="0" w:type="dxa"/>
        </w:tblCellMar>
      </w:tblPr>
      <w:tr>
        <w:trPr>
          <w:trHeight w:val="155"/>
        </w:trPr>
        <w:tc>
          <w:tcPr>
            <w:tcW w:w="3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2008</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2007</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7"/>
        </w:trPr>
        <w:tc>
          <w:tcPr>
            <w:tcW w:w="37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20"/>
              <w:spacing w:after="0" w:line="128" w:lineRule="exact"/>
              <w:rPr>
                <w:sz w:val="20"/>
                <w:szCs w:val="20"/>
                <w:color w:val="auto"/>
              </w:rPr>
            </w:pPr>
            <w:r>
              <w:rPr>
                <w:rFonts w:ascii="Arial" w:cs="Arial" w:eastAsia="Arial" w:hAnsi="Arial"/>
                <w:sz w:val="13"/>
                <w:szCs w:val="13"/>
                <w:b w:val="1"/>
                <w:bCs w:val="1"/>
                <w:color w:val="auto"/>
              </w:rPr>
              <w:t>High</w:t>
            </w: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0"/>
              <w:spacing w:after="0" w:line="128" w:lineRule="exact"/>
              <w:rPr>
                <w:sz w:val="20"/>
                <w:szCs w:val="20"/>
                <w:color w:val="auto"/>
              </w:rPr>
            </w:pPr>
            <w:r>
              <w:rPr>
                <w:rFonts w:ascii="Arial" w:cs="Arial" w:eastAsia="Arial" w:hAnsi="Arial"/>
                <w:sz w:val="13"/>
                <w:szCs w:val="13"/>
                <w:b w:val="1"/>
                <w:bCs w:val="1"/>
                <w:color w:val="auto"/>
              </w:rPr>
              <w:t>Low</w:t>
            </w: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20"/>
              <w:spacing w:after="0" w:line="128" w:lineRule="exact"/>
              <w:rPr>
                <w:sz w:val="20"/>
                <w:szCs w:val="20"/>
                <w:color w:val="auto"/>
              </w:rPr>
            </w:pPr>
            <w:r>
              <w:rPr>
                <w:rFonts w:ascii="Arial" w:cs="Arial" w:eastAsia="Arial" w:hAnsi="Arial"/>
                <w:sz w:val="13"/>
                <w:szCs w:val="13"/>
                <w:b w:val="1"/>
                <w:bCs w:val="1"/>
                <w:color w:val="auto"/>
              </w:rPr>
              <w:t>High</w:t>
            </w:r>
          </w:p>
        </w:tc>
        <w:tc>
          <w:tcPr>
            <w:tcW w:w="2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0"/>
              <w:spacing w:after="0" w:line="128" w:lineRule="exact"/>
              <w:rPr>
                <w:sz w:val="20"/>
                <w:szCs w:val="20"/>
                <w:color w:val="auto"/>
              </w:rPr>
            </w:pPr>
            <w:r>
              <w:rPr>
                <w:rFonts w:ascii="Arial" w:cs="Arial" w:eastAsia="Arial" w:hAnsi="Arial"/>
                <w:sz w:val="13"/>
                <w:szCs w:val="13"/>
                <w:b w:val="1"/>
                <w:bCs w:val="1"/>
                <w:color w:val="auto"/>
              </w:rPr>
              <w:t>Low</w:t>
            </w:r>
          </w:p>
        </w:tc>
        <w:tc>
          <w:tcPr>
            <w:tcW w:w="280" w:type="dxa"/>
            <w:vAlign w:val="bottom"/>
            <w:tcBorders>
              <w:bottom w:val="single" w:sz="8" w:color="CCEEFF"/>
            </w:tcBorders>
          </w:tcPr>
          <w:p>
            <w:pPr>
              <w:spacing w:after="0"/>
              <w:rPr>
                <w:sz w:val="11"/>
                <w:szCs w:val="11"/>
                <w:color w:val="auto"/>
              </w:rPr>
            </w:pPr>
          </w:p>
        </w:tc>
      </w:tr>
      <w:tr>
        <w:trPr>
          <w:trHeight w:val="176"/>
        </w:trPr>
        <w:tc>
          <w:tcPr>
            <w:tcW w:w="37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i w:val="1"/>
                <w:iCs w:val="1"/>
                <w:color w:val="auto"/>
              </w:rPr>
              <w:t>Class A Common Stock</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280" w:type="dxa"/>
            <w:vAlign w:val="bottom"/>
            <w:shd w:val="clear" w:color="auto" w:fill="CCEEFF"/>
          </w:tcPr>
          <w:p>
            <w:pPr>
              <w:spacing w:after="0"/>
              <w:rPr>
                <w:sz w:val="17"/>
                <w:szCs w:val="17"/>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Second Quarter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12.66</w:t>
            </w:r>
          </w:p>
        </w:tc>
        <w:tc>
          <w:tcPr>
            <w:tcW w:w="280" w:type="dxa"/>
            <w:vAlign w:val="bottom"/>
          </w:tcPr>
          <w:p>
            <w:pPr>
              <w:spacing w:after="0"/>
              <w:rPr>
                <w:sz w:val="17"/>
                <w:szCs w:val="17"/>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280" w:type="dxa"/>
            <w:vAlign w:val="bottom"/>
            <w:shd w:val="clear" w:color="auto" w:fill="CCEEFF"/>
          </w:tcPr>
          <w:p>
            <w:pPr>
              <w:spacing w:after="0"/>
              <w:rPr>
                <w:sz w:val="17"/>
                <w:szCs w:val="17"/>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Fourth Quarter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13.97</w:t>
            </w:r>
          </w:p>
        </w:tc>
        <w:tc>
          <w:tcPr>
            <w:tcW w:w="280" w:type="dxa"/>
            <w:vAlign w:val="bottom"/>
          </w:tcPr>
          <w:p>
            <w:pPr>
              <w:spacing w:after="0"/>
              <w:rPr>
                <w:sz w:val="17"/>
                <w:szCs w:val="17"/>
                <w:color w:val="auto"/>
              </w:rPr>
            </w:pPr>
          </w:p>
        </w:tc>
      </w:tr>
      <w:tr>
        <w:trPr>
          <w:trHeight w:val="196"/>
        </w:trPr>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b w:val="1"/>
                <w:bCs w:val="1"/>
                <w:i w:val="1"/>
                <w:iCs w:val="1"/>
                <w:color w:val="auto"/>
              </w:rPr>
              <w:t>Class B Common Stock</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First Quarter</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18.25</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13.41</w:t>
            </w:r>
          </w:p>
        </w:tc>
        <w:tc>
          <w:tcPr>
            <w:tcW w:w="28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12.93</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10.34</w:t>
            </w:r>
          </w:p>
        </w:tc>
        <w:tc>
          <w:tcPr>
            <w:tcW w:w="280" w:type="dxa"/>
            <w:vAlign w:val="bottom"/>
          </w:tcPr>
          <w:p>
            <w:pPr>
              <w:spacing w:after="0"/>
              <w:rPr>
                <w:sz w:val="17"/>
                <w:szCs w:val="17"/>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280" w:type="dxa"/>
            <w:vAlign w:val="bottom"/>
            <w:shd w:val="clear" w:color="auto" w:fill="CCEEFF"/>
          </w:tcPr>
          <w:p>
            <w:pPr>
              <w:spacing w:after="0"/>
              <w:rPr>
                <w:sz w:val="17"/>
                <w:szCs w:val="17"/>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Third Quarter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14.09</w:t>
            </w:r>
          </w:p>
        </w:tc>
        <w:tc>
          <w:tcPr>
            <w:tcW w:w="280" w:type="dxa"/>
            <w:vAlign w:val="bottom"/>
          </w:tcPr>
          <w:p>
            <w:pPr>
              <w:spacing w:after="0"/>
              <w:rPr>
                <w:sz w:val="17"/>
                <w:szCs w:val="17"/>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8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2" w:right="200" w:firstLine="589"/>
        <w:spacing w:after="0" w:line="322" w:lineRule="auto"/>
        <w:rPr>
          <w:sz w:val="20"/>
          <w:szCs w:val="20"/>
          <w:color w:val="auto"/>
        </w:rPr>
      </w:pPr>
      <w:r>
        <w:rPr>
          <w:rFonts w:ascii="Arial" w:cs="Arial" w:eastAsia="Arial" w:hAnsi="Arial"/>
          <w:sz w:val="15"/>
          <w:szCs w:val="15"/>
          <w:color w:val="auto"/>
        </w:rPr>
        <w:t>As of March 4, 2008, there were approximately 44 record holders of the Class A common stock and approximately 50 record holders of the Class B common stock and approximately 3,101 beneficial holders of the Class A common stock and approximately 775 beneficial holders of the Class B common stock.</w:t>
      </w:r>
    </w:p>
    <w:p>
      <w:pPr>
        <w:spacing w:after="0" w:line="126" w:lineRule="exact"/>
        <w:rPr>
          <w:sz w:val="20"/>
          <w:szCs w:val="20"/>
          <w:color w:val="auto"/>
        </w:rPr>
      </w:pPr>
    </w:p>
    <w:p>
      <w:pPr>
        <w:jc w:val="both"/>
        <w:ind w:left="2" w:right="140" w:firstLine="589"/>
        <w:spacing w:after="0" w:line="266" w:lineRule="auto"/>
        <w:rPr>
          <w:sz w:val="20"/>
          <w:szCs w:val="20"/>
          <w:color w:val="auto"/>
        </w:rPr>
      </w:pPr>
      <w:r>
        <w:rPr>
          <w:rFonts w:ascii="Arial" w:cs="Arial" w:eastAsia="Arial" w:hAnsi="Arial"/>
          <w:sz w:val="16"/>
          <w:szCs w:val="16"/>
          <w:color w:val="auto"/>
        </w:rPr>
        <w:t>On September 20, 2007,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The high and low sales prices set forth above have been adjusted and restated to reflect the stock dividend as if it occurred on the first day of the earliest period presented.</w:t>
      </w:r>
    </w:p>
    <w:p>
      <w:pPr>
        <w:spacing w:after="0" w:line="166" w:lineRule="exact"/>
        <w:rPr>
          <w:sz w:val="20"/>
          <w:szCs w:val="20"/>
          <w:color w:val="auto"/>
        </w:rPr>
      </w:pPr>
    </w:p>
    <w:p>
      <w:pPr>
        <w:ind w:left="2" w:right="40" w:firstLine="589"/>
        <w:spacing w:after="0" w:line="315" w:lineRule="auto"/>
        <w:rPr>
          <w:sz w:val="20"/>
          <w:szCs w:val="20"/>
          <w:color w:val="auto"/>
        </w:rPr>
      </w:pPr>
      <w:r>
        <w:rPr>
          <w:rFonts w:ascii="Arial" w:cs="Arial" w:eastAsia="Arial" w:hAnsi="Arial"/>
          <w:sz w:val="14"/>
          <w:szCs w:val="14"/>
          <w:color w:val="auto"/>
        </w:rPr>
        <w:t>Other than the stock dividend in connection with the stock split described above, the Company did not pay dividends during the fiscal year ended December 31, 2008 or the fiscal year ended December 31, 2007. 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36"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Company has not sold any securities in the last three years that were not registered under the Securities Act.</w:t>
      </w:r>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 summary of the repurchase activity for the Company’s fourth quarter of 2008 is as follows: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 Number of Shares</w:t>
            </w:r>
          </w:p>
        </w:tc>
        <w:tc>
          <w:tcPr>
            <w:tcW w:w="18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Approximate Dollar Value of</w:t>
            </w:r>
          </w:p>
        </w:tc>
        <w:tc>
          <w:tcPr>
            <w:tcW w:w="40" w:type="dxa"/>
            <w:vAlign w:val="bottom"/>
          </w:tcPr>
          <w:p>
            <w:pPr>
              <w:spacing w:after="0"/>
              <w:rPr>
                <w:sz w:val="12"/>
                <w:szCs w:val="12"/>
                <w:color w:val="auto"/>
              </w:rPr>
            </w:pPr>
          </w:p>
        </w:tc>
      </w:tr>
      <w:tr>
        <w:trPr>
          <w:trHeight w:val="135"/>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Purchased as Part of Publicly</w:t>
            </w:r>
          </w:p>
        </w:tc>
        <w:tc>
          <w:tcPr>
            <w:tcW w:w="140" w:type="dxa"/>
            <w:vAlign w:val="bottom"/>
          </w:tcPr>
          <w:p>
            <w:pPr>
              <w:spacing w:after="0"/>
              <w:rPr>
                <w:sz w:val="11"/>
                <w:szCs w:val="11"/>
                <w:color w:val="auto"/>
              </w:rPr>
            </w:pPr>
          </w:p>
        </w:tc>
        <w:tc>
          <w:tcPr>
            <w:tcW w:w="17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Shares that May Yet be</w:t>
            </w:r>
          </w:p>
        </w:tc>
        <w:tc>
          <w:tcPr>
            <w:tcW w:w="40" w:type="dxa"/>
            <w:vAlign w:val="bottom"/>
          </w:tcPr>
          <w:p>
            <w:pPr>
              <w:spacing w:after="0"/>
              <w:rPr>
                <w:sz w:val="11"/>
                <w:szCs w:val="11"/>
                <w:color w:val="auto"/>
              </w:rPr>
            </w:pPr>
          </w:p>
        </w:tc>
      </w:tr>
      <w:tr>
        <w:trPr>
          <w:trHeight w:val="135"/>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jc w:val="right"/>
              <w:ind w:right="104"/>
              <w:spacing w:after="0" w:line="135" w:lineRule="exact"/>
              <w:rPr>
                <w:sz w:val="20"/>
                <w:szCs w:val="20"/>
                <w:color w:val="auto"/>
              </w:rPr>
            </w:pPr>
            <w:r>
              <w:rPr>
                <w:rFonts w:ascii="Arial" w:cs="Arial" w:eastAsia="Arial" w:hAnsi="Arial"/>
                <w:sz w:val="13"/>
                <w:szCs w:val="13"/>
                <w:b w:val="1"/>
                <w:bCs w:val="1"/>
                <w:color w:val="auto"/>
              </w:rPr>
              <w:t>Total Number of Shares</w:t>
            </w:r>
          </w:p>
        </w:tc>
        <w:tc>
          <w:tcPr>
            <w:tcW w:w="200" w:type="dxa"/>
            <w:vAlign w:val="bottom"/>
          </w:tcPr>
          <w:p>
            <w:pPr>
              <w:spacing w:after="0"/>
              <w:rPr>
                <w:sz w:val="11"/>
                <w:szCs w:val="11"/>
                <w:color w:val="auto"/>
              </w:rPr>
            </w:pPr>
          </w:p>
        </w:tc>
        <w:tc>
          <w:tcPr>
            <w:tcW w:w="19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Price Paid Per Share</w:t>
            </w:r>
          </w:p>
        </w:tc>
        <w:tc>
          <w:tcPr>
            <w:tcW w:w="1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Announced Plans or</w:t>
            </w:r>
          </w:p>
        </w:tc>
        <w:tc>
          <w:tcPr>
            <w:tcW w:w="18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Purchased Under the Plans</w:t>
            </w:r>
          </w:p>
        </w:tc>
        <w:tc>
          <w:tcPr>
            <w:tcW w:w="40" w:type="dxa"/>
            <w:vAlign w:val="bottom"/>
          </w:tcPr>
          <w:p>
            <w:pPr>
              <w:spacing w:after="0"/>
              <w:rPr>
                <w:sz w:val="11"/>
                <w:szCs w:val="11"/>
                <w:color w:val="auto"/>
              </w:rPr>
            </w:pPr>
          </w:p>
        </w:tc>
      </w:tr>
      <w:tr>
        <w:trPr>
          <w:trHeight w:val="155"/>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1680" w:type="dxa"/>
            <w:vAlign w:val="bottom"/>
          </w:tcPr>
          <w:p>
            <w:pPr>
              <w:jc w:val="right"/>
              <w:ind w:right="384"/>
              <w:spacing w:after="0"/>
              <w:rPr>
                <w:sz w:val="20"/>
                <w:szCs w:val="20"/>
                <w:color w:val="auto"/>
              </w:rPr>
            </w:pPr>
            <w:r>
              <w:rPr>
                <w:rFonts w:ascii="Arial" w:cs="Arial" w:eastAsia="Arial" w:hAnsi="Arial"/>
                <w:sz w:val="13"/>
                <w:szCs w:val="13"/>
                <w:b w:val="1"/>
                <w:bCs w:val="1"/>
                <w:color w:val="auto"/>
              </w:rPr>
              <w:t>Purchased (1)</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ind w:right="682"/>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13"/>
                <w:szCs w:val="13"/>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Programs (2)</w:t>
            </w:r>
          </w:p>
        </w:tc>
        <w:tc>
          <w:tcPr>
            <w:tcW w:w="140" w:type="dxa"/>
            <w:vAlign w:val="bottom"/>
          </w:tcPr>
          <w:p>
            <w:pPr>
              <w:spacing w:after="0"/>
              <w:rPr>
                <w:sz w:val="13"/>
                <w:szCs w:val="13"/>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or Programs (3)</w:t>
            </w:r>
          </w:p>
        </w:tc>
        <w:tc>
          <w:tcPr>
            <w:tcW w:w="40" w:type="dxa"/>
            <w:vAlign w:val="bottom"/>
          </w:tcPr>
          <w:p>
            <w:pPr>
              <w:spacing w:after="0"/>
              <w:rPr>
                <w:sz w:val="13"/>
                <w:szCs w:val="13"/>
                <w:color w:val="auto"/>
              </w:rPr>
            </w:pPr>
          </w:p>
        </w:tc>
      </w:tr>
      <w:tr>
        <w:trPr>
          <w:trHeight w:val="189"/>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October 1 — October 31, 2008</w:t>
            </w:r>
          </w:p>
        </w:tc>
        <w:tc>
          <w:tcPr>
            <w:tcW w:w="2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860,628</w:t>
            </w:r>
          </w:p>
        </w:tc>
        <w:tc>
          <w:tcPr>
            <w:tcW w:w="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2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860,628</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2,093,321</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900" w:type="dxa"/>
            <w:vAlign w:val="bottom"/>
            <w:gridSpan w:val="2"/>
          </w:tcPr>
          <w:p>
            <w:pPr>
              <w:spacing w:after="0"/>
              <w:rPr>
                <w:sz w:val="20"/>
                <w:szCs w:val="20"/>
                <w:color w:val="auto"/>
              </w:rPr>
            </w:pPr>
            <w:r>
              <w:rPr>
                <w:rFonts w:ascii="Arial" w:cs="Arial" w:eastAsia="Arial" w:hAnsi="Arial"/>
                <w:sz w:val="16"/>
                <w:szCs w:val="16"/>
                <w:color w:val="auto"/>
              </w:rPr>
              <w:t>November 1 — November 30, 2008</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2,093,321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1 — December 31, 2008</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2,093,321</w:t>
            </w: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860,628</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860,628</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2,093,321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0"/>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gridSpan w:val="2"/>
          </w:tcPr>
          <w:p>
            <w:pPr>
              <w:jc w:val="right"/>
              <w:ind w:right="346"/>
              <w:spacing w:after="0"/>
              <w:rPr>
                <w:sz w:val="20"/>
                <w:szCs w:val="20"/>
                <w:color w:val="auto"/>
              </w:rPr>
            </w:pPr>
            <w:r>
              <w:rPr>
                <w:rFonts w:ascii="Arial" w:cs="Arial" w:eastAsia="Arial" w:hAnsi="Arial"/>
                <w:sz w:val="16"/>
                <w:szCs w:val="16"/>
                <w:color w:val="auto"/>
              </w:rPr>
              <w:t>20</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370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6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6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15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3"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18300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97" w:lineRule="exact"/>
        <w:rPr>
          <w:sz w:val="20"/>
          <w:szCs w:val="20"/>
          <w:color w:val="auto"/>
        </w:rPr>
      </w:pPr>
    </w:p>
    <w:p>
      <w:pPr>
        <w:ind w:left="562" w:hanging="562"/>
        <w:spacing w:after="0"/>
        <w:tabs>
          <w:tab w:leader="none" w:pos="562"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calculation of the average price paid per share does not give effect to any fees, commissions or other costs associated with the repurchase of such shares.</w:t>
      </w:r>
    </w:p>
    <w:p>
      <w:pPr>
        <w:spacing w:after="0" w:line="220" w:lineRule="exact"/>
        <w:rPr>
          <w:rFonts w:ascii="Arial" w:cs="Arial" w:eastAsia="Arial" w:hAnsi="Arial"/>
          <w:sz w:val="15"/>
          <w:szCs w:val="15"/>
          <w:color w:val="auto"/>
        </w:rPr>
      </w:pPr>
    </w:p>
    <w:p>
      <w:pPr>
        <w:ind w:left="562" w:hanging="562"/>
        <w:spacing w:after="0"/>
        <w:tabs>
          <w:tab w:leader="none" w:pos="56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shares represent Class B common stock repurchased by the Company.</w:t>
      </w:r>
    </w:p>
    <w:p>
      <w:pPr>
        <w:spacing w:after="0" w:line="208" w:lineRule="exact"/>
        <w:rPr>
          <w:rFonts w:ascii="Arial" w:cs="Arial" w:eastAsia="Arial" w:hAnsi="Arial"/>
          <w:sz w:val="16"/>
          <w:szCs w:val="16"/>
          <w:color w:val="auto"/>
        </w:rPr>
      </w:pPr>
    </w:p>
    <w:p>
      <w:pPr>
        <w:ind w:left="2" w:right="540" w:hanging="2"/>
        <w:spacing w:after="0" w:line="322" w:lineRule="auto"/>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Company repurchased shares under a program announced on July 23, 2008, which authorized the repurchase of up to $20,000,000 of its shares of Class A common stock and/or Class B common stock. The stock repurchase program has no expiration date and may be suspended or discontinued at any time.</w:t>
      </w:r>
    </w:p>
    <w:p>
      <w:pPr>
        <w:spacing w:after="0" w:line="126" w:lineRule="exact"/>
        <w:rPr>
          <w:sz w:val="20"/>
          <w:szCs w:val="20"/>
          <w:color w:val="auto"/>
        </w:rPr>
      </w:pPr>
    </w:p>
    <w:p>
      <w:pPr>
        <w:ind w:left="2" w:right="140" w:firstLine="589"/>
        <w:spacing w:after="0" w:line="286" w:lineRule="auto"/>
        <w:rPr>
          <w:sz w:val="20"/>
          <w:szCs w:val="20"/>
          <w:color w:val="auto"/>
        </w:rPr>
      </w:pPr>
      <w:r>
        <w:rPr>
          <w:rFonts w:ascii="Arial" w:cs="Arial" w:eastAsia="Arial" w:hAnsi="Arial"/>
          <w:sz w:val="16"/>
          <w:szCs w:val="16"/>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50"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6. Selected Financial Data</w:t>
      </w:r>
    </w:p>
    <w:p>
      <w:pPr>
        <w:spacing w:after="0" w:line="213" w:lineRule="exact"/>
        <w:rPr>
          <w:sz w:val="20"/>
          <w:szCs w:val="20"/>
          <w:color w:val="auto"/>
        </w:rPr>
      </w:pPr>
    </w:p>
    <w:p>
      <w:pPr>
        <w:ind w:left="2" w:right="40" w:firstLine="589"/>
        <w:spacing w:after="0" w:line="315" w:lineRule="auto"/>
        <w:rPr>
          <w:sz w:val="20"/>
          <w:szCs w:val="20"/>
          <w:color w:val="auto"/>
        </w:rPr>
      </w:pPr>
      <w:r>
        <w:rPr>
          <w:rFonts w:ascii="Arial" w:cs="Arial" w:eastAsia="Arial" w:hAnsi="Arial"/>
          <w:sz w:val="14"/>
          <w:szCs w:val="14"/>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the Company’s future financial position or results of operations due primarily to acquisitions and discontinued operations which occurred during the periods</w:t>
      </w:r>
    </w:p>
    <w:p>
      <w:pPr>
        <w:sectPr>
          <w:pgSz w:w="11900" w:h="16838" w:orient="portrait"/>
          <w:cols w:equalWidth="0" w:num="1">
            <w:col w:w="11462"/>
          </w:cols>
          <w:pgMar w:left="238" w:top="323" w:right="199" w:bottom="0" w:gutter="0" w:footer="0" w:header="0"/>
        </w:sectPr>
      </w:pPr>
    </w:p>
    <w:bookmarkStart w:id="14" w:name="page15"/>
    <w:bookmarkEnd w:id="14"/>
    <w:p>
      <w:pPr>
        <w:spacing w:after="0" w:line="3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presented. See Note 17 to the Company’s Consolidated Financial Statements for a discussion of such acquisitions. The selected financial data presented below should be read in conjunction with the Company’s other financial information included elsewhere herein.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center"/>
              <w:ind w:right="58"/>
              <w:spacing w:after="0"/>
              <w:rPr>
                <w:sz w:val="20"/>
                <w:szCs w:val="20"/>
                <w:color w:val="auto"/>
              </w:rPr>
            </w:pPr>
            <w:r>
              <w:rPr>
                <w:rFonts w:ascii="Arial" w:cs="Arial" w:eastAsia="Arial" w:hAnsi="Arial"/>
                <w:sz w:val="13"/>
                <w:szCs w:val="13"/>
                <w:b w:val="1"/>
                <w:bCs w:val="1"/>
                <w:color w:val="auto"/>
                <w:w w:val="90"/>
              </w:rPr>
              <w:t>Year Ended December 31,</w:t>
            </w: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SUMMARY OF INCOME STATEMENT DATA</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58"/>
              <w:spacing w:after="0" w:line="128"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2007</w:t>
            </w: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left="59"/>
              <w:spacing w:after="0" w:line="128" w:lineRule="exact"/>
              <w:rPr>
                <w:sz w:val="20"/>
                <w:szCs w:val="20"/>
                <w:color w:val="auto"/>
              </w:rPr>
            </w:pPr>
            <w:r>
              <w:rPr>
                <w:rFonts w:ascii="Arial" w:cs="Arial" w:eastAsia="Arial" w:hAnsi="Arial"/>
                <w:sz w:val="13"/>
                <w:szCs w:val="13"/>
                <w:b w:val="1"/>
                <w:bCs w:val="1"/>
                <w:color w:val="auto"/>
                <w:w w:val="89"/>
              </w:rPr>
              <w:t>2006</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19"/>
              <w:spacing w:after="0" w:line="128" w:lineRule="exact"/>
              <w:rPr>
                <w:sz w:val="20"/>
                <w:szCs w:val="20"/>
                <w:color w:val="auto"/>
              </w:rPr>
            </w:pPr>
            <w:r>
              <w:rPr>
                <w:rFonts w:ascii="Arial" w:cs="Arial" w:eastAsia="Arial" w:hAnsi="Arial"/>
                <w:sz w:val="13"/>
                <w:szCs w:val="13"/>
                <w:b w:val="1"/>
                <w:bCs w:val="1"/>
                <w:color w:val="auto"/>
              </w:rPr>
              <w:t>2005</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9"/>
              <w:spacing w:after="0" w:line="128" w:lineRule="exact"/>
              <w:rPr>
                <w:sz w:val="20"/>
                <w:szCs w:val="20"/>
                <w:color w:val="auto"/>
              </w:rPr>
            </w:pPr>
            <w:r>
              <w:rPr>
                <w:rFonts w:ascii="Arial" w:cs="Arial" w:eastAsia="Arial" w:hAnsi="Arial"/>
                <w:sz w:val="13"/>
                <w:szCs w:val="13"/>
                <w:b w:val="1"/>
                <w:bCs w:val="1"/>
                <w:color w:val="auto"/>
              </w:rPr>
              <w:t>2004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gridSpan w:val="11"/>
          </w:tcPr>
          <w:p>
            <w:pPr>
              <w:jc w:val="center"/>
              <w:ind w:right="700"/>
              <w:spacing w:after="0"/>
              <w:rPr>
                <w:sz w:val="20"/>
                <w:szCs w:val="20"/>
                <w:color w:val="auto"/>
              </w:rPr>
            </w:pPr>
            <w:r>
              <w:rPr>
                <w:rFonts w:ascii="Arial" w:cs="Arial" w:eastAsia="Arial" w:hAnsi="Arial"/>
                <w:sz w:val="13"/>
                <w:szCs w:val="13"/>
                <w:b w:val="1"/>
                <w:bCs w:val="1"/>
                <w:color w:val="auto"/>
                <w:w w:val="88"/>
              </w:rPr>
              <w:t>(in thousands, except per share amounts)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ind w:left="180"/>
              <w:spacing w:after="0"/>
              <w:rPr>
                <w:sz w:val="20"/>
                <w:szCs w:val="20"/>
                <w:color w:val="auto"/>
              </w:rPr>
            </w:pPr>
            <w:r>
              <w:rPr>
                <w:rFonts w:ascii="Arial" w:cs="Arial" w:eastAsia="Arial" w:hAnsi="Arial"/>
                <w:sz w:val="16"/>
                <w:szCs w:val="16"/>
                <w:color w:val="auto"/>
              </w:rPr>
              <w:t>New and used truck sales</w:t>
            </w: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1,041,189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1,393,253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1,780,418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1,400,736</w:t>
            </w:r>
          </w:p>
        </w:tc>
        <w:tc>
          <w:tcPr>
            <w:tcW w:w="440" w:type="dxa"/>
            <w:vAlign w:val="bottom"/>
            <w:gridSpan w:val="3"/>
          </w:tcPr>
          <w:p>
            <w:pPr>
              <w:jc w:val="right"/>
              <w:ind w:right="5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738,225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Parts and service</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478,439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480,611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441,424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365,908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285,206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ind w:left="180"/>
              <w:spacing w:after="0"/>
              <w:rPr>
                <w:sz w:val="20"/>
                <w:szCs w:val="20"/>
                <w:color w:val="auto"/>
              </w:rPr>
            </w:pPr>
            <w:r>
              <w:rPr>
                <w:rFonts w:ascii="Arial" w:cs="Arial" w:eastAsia="Arial" w:hAnsi="Arial"/>
                <w:sz w:val="16"/>
                <w:szCs w:val="16"/>
                <w:color w:val="auto"/>
              </w:rPr>
              <w:t>Construction equipment sales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3"/>
              </w:rPr>
              <w:t>62,168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74,986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59,545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41,692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Lease and rental</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54,813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52,103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41,776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33,975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ind w:left="180"/>
              <w:spacing w:after="0"/>
              <w:rPr>
                <w:sz w:val="20"/>
                <w:szCs w:val="20"/>
                <w:color w:val="auto"/>
              </w:rPr>
            </w:pPr>
            <w:r>
              <w:rPr>
                <w:rFonts w:ascii="Arial" w:cs="Arial" w:eastAsia="Arial" w:hAnsi="Arial"/>
                <w:sz w:val="16"/>
                <w:szCs w:val="16"/>
                <w:color w:val="auto"/>
              </w:rPr>
              <w:t>Finance and insurance</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3"/>
              </w:rPr>
              <w:t>12,291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21,663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19,197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7,909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6,056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8,163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8,163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34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1,654,956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2,030,779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2,350,523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1,864,770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1,094,979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products sold</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1,358,244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1,678,711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1,997,856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1,582,078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909,837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296,712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352,068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352,667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282,692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185,142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228,057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240,661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230,056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188,667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141,947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3"/>
              </w:rPr>
              <w:t>15,878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14,935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12,889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10,487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9,119</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52,777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96,472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109,722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83,538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14,909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15,718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12,895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 on sale of assets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3"/>
              </w:rPr>
              <w:t>45,087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81,802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94,058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71,138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16,222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30,310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35,272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26,513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3"/>
              </w:rPr>
              <w:t>28,865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51,492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58,786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44,625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17,176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discontinued operations, net</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(260 )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3"/>
              </w:rPr>
              <w:t>28,865</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51,492</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58,786</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44,625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16,916</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1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Earnings Per Share:</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 Basic</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gridSpan w:val="2"/>
          </w:tcPr>
          <w:p>
            <w:pPr>
              <w:ind w:left="18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0.76</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1.57</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1.23</w:t>
            </w:r>
          </w:p>
        </w:tc>
        <w:tc>
          <w:tcPr>
            <w:tcW w:w="440" w:type="dxa"/>
            <w:vAlign w:val="bottom"/>
            <w:gridSpan w:val="3"/>
          </w:tcPr>
          <w:p>
            <w:pPr>
              <w:jc w:val="right"/>
              <w:ind w:right="5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200" w:type="dxa"/>
            <w:vAlign w:val="bottom"/>
            <w:tcBorders>
              <w:top w:val="single" w:sz="8" w:color="CCEEFF"/>
              <w:bottom w:val="single" w:sz="8" w:color="CCEEFF"/>
            </w:tcBorders>
            <w:gridSpan w:val="2"/>
            <w:shd w:val="clear" w:color="auto" w:fill="CCEEFF"/>
          </w:tcPr>
          <w:p>
            <w:pPr>
              <w:ind w:left="180"/>
              <w:spacing w:after="0" w:line="173" w:lineRule="exact"/>
              <w:rPr>
                <w:sz w:val="20"/>
                <w:szCs w:val="20"/>
                <w:color w:val="auto"/>
              </w:rPr>
            </w:pPr>
            <w:r>
              <w:rPr>
                <w:rFonts w:ascii="Arial" w:cs="Arial" w:eastAsia="Arial" w:hAnsi="Arial"/>
                <w:sz w:val="16"/>
                <w:szCs w:val="16"/>
                <w:color w:val="auto"/>
              </w:rPr>
              <w:t>Net income</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b w:val="1"/>
                <w:bCs w:val="1"/>
                <w:color w:val="auto"/>
              </w:rPr>
              <w:t>0.75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w w:val="96"/>
              </w:rPr>
              <w:t>1.35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1.57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1.23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8"/>
              <w:spacing w:after="0" w:line="17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0.72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6"/>
                <w:szCs w:val="16"/>
                <w:color w:val="auto"/>
              </w:rPr>
              <w:t>Earnings per Common Share — Diluted</w:t>
            </w: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0.76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6"/>
              </w:rPr>
              <w:t>1.33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440" w:type="dxa"/>
            <w:vAlign w:val="bottom"/>
            <w:gridSpan w:val="3"/>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00" w:type="dxa"/>
            <w:vAlign w:val="bottom"/>
            <w:tcBorders>
              <w:bottom w:val="single" w:sz="8" w:color="CCEEFF"/>
            </w:tcBorders>
            <w:gridSpan w:val="2"/>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b w:val="1"/>
                <w:bCs w:val="1"/>
                <w:color w:val="auto"/>
              </w:rPr>
              <w:t>0.75</w:t>
            </w:r>
          </w:p>
        </w:tc>
        <w:tc>
          <w:tcPr>
            <w:tcW w:w="2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ind w:left="20"/>
              <w:spacing w:after="0" w:line="17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w w:val="96"/>
              </w:rPr>
              <w:t>1.33</w:t>
            </w:r>
          </w:p>
        </w:tc>
        <w:tc>
          <w:tcPr>
            <w:tcW w:w="2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1.55</w:t>
            </w:r>
          </w:p>
        </w:tc>
        <w:tc>
          <w:tcPr>
            <w:tcW w:w="2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gridSpan w:val="2"/>
          </w:tcPr>
          <w:p>
            <w:pPr>
              <w:jc w:val="right"/>
              <w:ind w:right="20"/>
              <w:spacing w:after="0" w:line="173" w:lineRule="exact"/>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8"/>
              <w:spacing w:after="0" w:line="17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.068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Basic weighted average shares</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3"/>
              </w:rPr>
              <w:t>38,089</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38,059</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37,476</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36,303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23,526</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200" w:type="dxa"/>
            <w:vAlign w:val="bottom"/>
            <w:tcBorders>
              <w:bottom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w w:val="98"/>
              </w:rPr>
              <w:t>Diluted weighted average shares and assumed conversions</w:t>
            </w:r>
          </w:p>
        </w:tc>
        <w:tc>
          <w:tcPr>
            <w:tcW w:w="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b w:val="1"/>
                <w:bCs w:val="1"/>
                <w:color w:val="auto"/>
                <w:w w:val="93"/>
              </w:rPr>
              <w:t>38,587</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38,746</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37,890</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37,436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24,911</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010101"/>
            </w:tcBorders>
          </w:tcPr>
          <w:p>
            <w:pPr>
              <w:spacing w:after="0"/>
              <w:rPr>
                <w:sz w:val="10"/>
                <w:szCs w:val="10"/>
                <w:color w:val="auto"/>
              </w:rPr>
            </w:pPr>
          </w:p>
        </w:tc>
        <w:tc>
          <w:tcPr>
            <w:tcW w:w="304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3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5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76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88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74"/>
        </w:trPr>
        <w:tc>
          <w:tcPr>
            <w:tcW w:w="42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90"/>
              </w:rPr>
              <w:t>Year Ended December 31,</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16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3"/>
                <w:szCs w:val="13"/>
                <w:b w:val="1"/>
                <w:bCs w:val="1"/>
                <w:color w:val="auto"/>
              </w:rPr>
              <w:t>2008</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379"/>
              <w:spacing w:after="0" w:line="128" w:lineRule="exact"/>
              <w:rPr>
                <w:sz w:val="20"/>
                <w:szCs w:val="20"/>
                <w:color w:val="auto"/>
              </w:rPr>
            </w:pPr>
            <w:r>
              <w:rPr>
                <w:rFonts w:ascii="Arial" w:cs="Arial" w:eastAsia="Arial" w:hAnsi="Arial"/>
                <w:sz w:val="13"/>
                <w:szCs w:val="13"/>
                <w:b w:val="1"/>
                <w:bCs w:val="1"/>
                <w:color w:val="auto"/>
              </w:rPr>
              <w:t>2007</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79"/>
              <w:spacing w:after="0" w:line="128" w:lineRule="exact"/>
              <w:rPr>
                <w:sz w:val="20"/>
                <w:szCs w:val="20"/>
                <w:color w:val="auto"/>
              </w:rPr>
            </w:pPr>
            <w:r>
              <w:rPr>
                <w:rFonts w:ascii="Arial" w:cs="Arial" w:eastAsia="Arial" w:hAnsi="Arial"/>
                <w:sz w:val="13"/>
                <w:szCs w:val="13"/>
                <w:b w:val="1"/>
                <w:bCs w:val="1"/>
                <w:color w:val="auto"/>
                <w:w w:val="96"/>
              </w:rPr>
              <w:t>2006</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9"/>
              <w:spacing w:after="0" w:line="128" w:lineRule="exact"/>
              <w:rPr>
                <w:sz w:val="20"/>
                <w:szCs w:val="20"/>
                <w:color w:val="auto"/>
              </w:rPr>
            </w:pPr>
            <w:r>
              <w:rPr>
                <w:rFonts w:ascii="Arial" w:cs="Arial" w:eastAsia="Arial" w:hAnsi="Arial"/>
                <w:sz w:val="13"/>
                <w:szCs w:val="13"/>
                <w:b w:val="1"/>
                <w:bCs w:val="1"/>
                <w:color w:val="auto"/>
              </w:rPr>
              <w:t>2005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99"/>
              <w:spacing w:after="0" w:line="128" w:lineRule="exact"/>
              <w:rPr>
                <w:sz w:val="20"/>
                <w:szCs w:val="20"/>
                <w:color w:val="auto"/>
              </w:rPr>
            </w:pPr>
            <w:r>
              <w:rPr>
                <w:rFonts w:ascii="Arial" w:cs="Arial" w:eastAsia="Arial" w:hAnsi="Arial"/>
                <w:sz w:val="13"/>
                <w:szCs w:val="13"/>
                <w:b w:val="1"/>
                <w:bCs w:val="1"/>
                <w:color w:val="auto"/>
              </w:rPr>
              <w:t>2004</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OPERATING DATA</w:t>
            </w: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Number of locations —</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 truck sales —</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ind w:left="180"/>
              <w:spacing w:after="0"/>
              <w:rPr>
                <w:sz w:val="20"/>
                <w:szCs w:val="20"/>
                <w:color w:val="auto"/>
              </w:rPr>
            </w:pPr>
            <w:r>
              <w:rPr>
                <w:rFonts w:ascii="Arial" w:cs="Arial" w:eastAsia="Arial" w:hAnsi="Arial"/>
                <w:sz w:val="16"/>
                <w:szCs w:val="16"/>
                <w:color w:val="auto"/>
              </w:rPr>
              <w:t>New trucks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9,289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12,712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Used trucks</w:t>
            </w:r>
          </w:p>
        </w:tc>
        <w:tc>
          <w:tcPr>
            <w:tcW w:w="2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340"/>
              <w:spacing w:after="0"/>
              <w:rPr>
                <w:sz w:val="20"/>
                <w:szCs w:val="20"/>
                <w:color w:val="auto"/>
              </w:rPr>
            </w:pPr>
            <w:r>
              <w:rPr>
                <w:rFonts w:ascii="Arial" w:cs="Arial" w:eastAsia="Arial" w:hAnsi="Arial"/>
                <w:sz w:val="16"/>
                <w:szCs w:val="16"/>
                <w:color w:val="auto"/>
              </w:rPr>
              <w:t>Total unit trucks sales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89"/>
              </w:rPr>
              <w:t>12,523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16,813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20,497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9,856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Truck lease and rental units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3"/>
                <w:szCs w:val="13"/>
                <w:b w:val="1"/>
                <w:bCs w:val="1"/>
                <w:color w:val="auto"/>
                <w:w w:val="89"/>
              </w:rPr>
              <w:t>December 31,</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8" w:lineRule="exact"/>
              <w:rPr>
                <w:sz w:val="20"/>
                <w:szCs w:val="20"/>
                <w:color w:val="auto"/>
              </w:rPr>
            </w:pPr>
            <w:r>
              <w:rPr>
                <w:rFonts w:ascii="Arial" w:cs="Arial" w:eastAsia="Arial" w:hAnsi="Arial"/>
                <w:sz w:val="13"/>
                <w:szCs w:val="13"/>
                <w:b w:val="1"/>
                <w:bCs w:val="1"/>
                <w:color w:val="auto"/>
              </w:rPr>
              <w:t>2008</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200"/>
              <w:spacing w:after="0" w:line="128" w:lineRule="exact"/>
              <w:rPr>
                <w:sz w:val="20"/>
                <w:szCs w:val="20"/>
                <w:color w:val="auto"/>
              </w:rPr>
            </w:pPr>
            <w:r>
              <w:rPr>
                <w:rFonts w:ascii="Arial" w:cs="Arial" w:eastAsia="Arial" w:hAnsi="Arial"/>
                <w:sz w:val="13"/>
                <w:szCs w:val="13"/>
                <w:b w:val="1"/>
                <w:bCs w:val="1"/>
                <w:color w:val="auto"/>
              </w:rPr>
              <w:t>2007</w:t>
            </w: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79"/>
              <w:spacing w:after="0" w:line="128" w:lineRule="exact"/>
              <w:rPr>
                <w:sz w:val="20"/>
                <w:szCs w:val="20"/>
                <w:color w:val="auto"/>
              </w:rPr>
            </w:pPr>
            <w:r>
              <w:rPr>
                <w:rFonts w:ascii="Arial" w:cs="Arial" w:eastAsia="Arial" w:hAnsi="Arial"/>
                <w:sz w:val="13"/>
                <w:szCs w:val="13"/>
                <w:b w:val="1"/>
                <w:bCs w:val="1"/>
                <w:color w:val="auto"/>
                <w:w w:val="96"/>
              </w:rPr>
              <w:t>2006</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9"/>
              <w:spacing w:after="0" w:line="128" w:lineRule="exact"/>
              <w:rPr>
                <w:sz w:val="20"/>
                <w:szCs w:val="20"/>
                <w:color w:val="auto"/>
              </w:rPr>
            </w:pPr>
            <w:r>
              <w:rPr>
                <w:rFonts w:ascii="Arial" w:cs="Arial" w:eastAsia="Arial" w:hAnsi="Arial"/>
                <w:sz w:val="13"/>
                <w:szCs w:val="13"/>
                <w:b w:val="1"/>
                <w:bCs w:val="1"/>
                <w:color w:val="auto"/>
              </w:rPr>
              <w:t>2005</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9"/>
              <w:spacing w:after="0" w:line="128" w:lineRule="exact"/>
              <w:rPr>
                <w:sz w:val="20"/>
                <w:szCs w:val="20"/>
                <w:color w:val="auto"/>
              </w:rPr>
            </w:pPr>
            <w:r>
              <w:rPr>
                <w:rFonts w:ascii="Arial" w:cs="Arial" w:eastAsia="Arial" w:hAnsi="Arial"/>
                <w:sz w:val="13"/>
                <w:szCs w:val="13"/>
                <w:b w:val="1"/>
                <w:bCs w:val="1"/>
                <w:color w:val="auto"/>
              </w:rPr>
              <w:t>2004</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400"/>
              <w:spacing w:after="0" w:line="128" w:lineRule="exact"/>
              <w:rPr>
                <w:sz w:val="20"/>
                <w:szCs w:val="20"/>
                <w:color w:val="auto"/>
              </w:rPr>
            </w:pPr>
            <w:r>
              <w:rPr>
                <w:rFonts w:ascii="Arial" w:cs="Arial" w:eastAsia="Arial" w:hAnsi="Arial"/>
                <w:sz w:val="13"/>
                <w:szCs w:val="13"/>
                <w:b w:val="1"/>
                <w:bCs w:val="1"/>
                <w:color w:val="auto"/>
                <w:w w:val="89"/>
              </w:rPr>
              <w:t>(in thousands)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Working capital</w:t>
            </w:r>
          </w:p>
        </w:tc>
        <w:tc>
          <w:tcPr>
            <w:tcW w:w="280" w:type="dxa"/>
            <w:vAlign w:val="bottom"/>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177,117</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6"/>
              </w:rPr>
              <w:t>197,805</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156,297</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126,137</w:t>
            </w:r>
          </w:p>
        </w:tc>
        <w:tc>
          <w:tcPr>
            <w:tcW w:w="440" w:type="dxa"/>
            <w:vAlign w:val="bottom"/>
            <w:gridSpan w:val="3"/>
          </w:tcPr>
          <w:p>
            <w:pPr>
              <w:jc w:val="right"/>
              <w:ind w:right="138"/>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138,241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362,234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365,947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484,696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338,212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189,792</w:t>
            </w: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1,056,790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1,031,591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1,128,410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840,234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565,933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Floor plan notes payable</w:t>
            </w:r>
          </w:p>
        </w:tc>
        <w:tc>
          <w:tcPr>
            <w:tcW w:w="28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282,702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6"/>
              </w:rPr>
              <w:t>273,653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446,354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315,985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168,002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Line-of-credit borrowings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tcPr>
          <w:p>
            <w:pPr>
              <w:spacing w:after="0"/>
              <w:rPr>
                <w:sz w:val="20"/>
                <w:szCs w:val="20"/>
                <w:color w:val="auto"/>
              </w:rPr>
            </w:pPr>
            <w:r>
              <w:rPr>
                <w:rFonts w:ascii="Arial" w:cs="Arial" w:eastAsia="Arial" w:hAnsi="Arial"/>
                <w:sz w:val="16"/>
                <w:szCs w:val="16"/>
                <w:color w:val="auto"/>
              </w:rPr>
              <w:t>Long-term debt, including current portion</w:t>
            </w:r>
          </w:p>
        </w:tc>
        <w:tc>
          <w:tcPr>
            <w:tcW w:w="28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209,677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6"/>
              </w:rPr>
              <w:t>198,945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192,124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133,152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96,056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lease obligations, including current portion</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14,820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17,732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8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416,041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6"/>
              </w:rPr>
              <w:t>399,577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339,608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273,620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222,807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-3204845</wp:posOffset>
            </wp:positionV>
            <wp:extent cx="1270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-3204845</wp:posOffset>
            </wp:positionV>
            <wp:extent cx="1270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3" w:lineRule="exact"/>
        <w:rPr>
          <w:sz w:val="20"/>
          <w:szCs w:val="20"/>
          <w:color w:val="auto"/>
        </w:rPr>
      </w:pPr>
    </w:p>
    <w:p>
      <w:pPr>
        <w:ind w:right="680" w:firstLine="589"/>
        <w:spacing w:after="0" w:line="286" w:lineRule="auto"/>
        <w:rPr>
          <w:sz w:val="20"/>
          <w:szCs w:val="20"/>
          <w:color w:val="auto"/>
        </w:rPr>
      </w:pPr>
      <w:r>
        <w:rPr>
          <w:rFonts w:ascii="Arial" w:cs="Arial" w:eastAsia="Arial" w:hAnsi="Arial"/>
          <w:sz w:val="16"/>
          <w:szCs w:val="16"/>
          <w:color w:val="auto"/>
        </w:rPr>
        <w:t>The ongoing weakness in the economy and deteriorating credit markets continue to impact consumer confidence and spending, and ultimately, our financial performance. These factors also make it extremely difficult for the Company to forecast future results of operations.</w:t>
      </w:r>
    </w:p>
    <w:p>
      <w:pPr>
        <w:spacing w:after="0" w:line="150" w:lineRule="exact"/>
        <w:rPr>
          <w:sz w:val="20"/>
          <w:szCs w:val="20"/>
          <w:color w:val="auto"/>
        </w:rPr>
      </w:pPr>
    </w:p>
    <w:p>
      <w:pPr>
        <w:ind w:right="60" w:firstLine="589"/>
        <w:spacing w:after="0" w:line="262" w:lineRule="auto"/>
        <w:rPr>
          <w:sz w:val="20"/>
          <w:szCs w:val="20"/>
          <w:color w:val="auto"/>
        </w:rPr>
      </w:pPr>
      <w:r>
        <w:rPr>
          <w:rFonts w:ascii="Arial" w:cs="Arial" w:eastAsia="Arial" w:hAnsi="Arial"/>
          <w:sz w:val="16"/>
          <w:szCs w:val="16"/>
          <w:color w:val="auto"/>
        </w:rPr>
        <w:t>A.C.T. Research Co., LLC (“A.C.T. Research”), a truck industry data and forecasting service provider, currently predicts U.S. retail sales of Class 8 trucks of approximately 124,600 units in 2009, a 10.9% decline from the number of deliveries in 2008. However, the Company expects that 2009 sales of Class 8 units could be as low as 110,000 to 120,000 units. The Company expects the first quarter of 2009 to be the weakest quarter since the truck market downturn began in 2007. Based on current economic and market conditions, the Company does not expect a significant pre-buy of Class 8 trucks to occur in 2009 as a result of diesel emissions regulations that go into effect in 2010. However, the Company expects demand for new Class 8 trucks to gradually increase due to the age of vehicles in operation and impending 2010 diesel emissions regulations.</w:t>
      </w:r>
    </w:p>
    <w:p>
      <w:pPr>
        <w:spacing w:after="0" w:line="169" w:lineRule="exact"/>
        <w:rPr>
          <w:sz w:val="20"/>
          <w:szCs w:val="20"/>
          <w:color w:val="auto"/>
        </w:rPr>
      </w:pPr>
    </w:p>
    <w:p>
      <w:pPr>
        <w:jc w:val="both"/>
        <w:ind w:right="60" w:firstLine="589"/>
        <w:spacing w:after="0" w:line="271" w:lineRule="auto"/>
        <w:rPr>
          <w:sz w:val="20"/>
          <w:szCs w:val="20"/>
          <w:color w:val="auto"/>
        </w:rPr>
      </w:pPr>
      <w:r>
        <w:rPr>
          <w:rFonts w:ascii="Arial" w:cs="Arial" w:eastAsia="Arial" w:hAnsi="Arial"/>
          <w:sz w:val="16"/>
          <w:szCs w:val="16"/>
          <w:color w:val="auto"/>
        </w:rPr>
        <w:t>Medium-duty truck sales declined 31% in 2008 as compared to 2007. A.C.T. Research currently predicts U.S. retail sales of Class 4, 5, 6, and 7 medium-duty trucks of approximately 167,500 units in 2009, a 5% decline from the number of deliveries in 2008. The Company believes U.S. retail sales of medium-duty trucks in 2009 could be off as much as 15% compared to 2008.</w:t>
      </w:r>
    </w:p>
    <w:p>
      <w:pPr>
        <w:sectPr>
          <w:pgSz w:w="11900" w:h="16872" w:orient="portrait"/>
          <w:cols w:equalWidth="0" w:num="1">
            <w:col w:w="11460"/>
          </w:cols>
          <w:pgMar w:left="240" w:top="127" w:right="199" w:bottom="0" w:gutter="0" w:footer="0" w:header="0"/>
        </w:sectPr>
      </w:pPr>
    </w:p>
    <w:bookmarkStart w:id="15" w:name="page16"/>
    <w:bookmarkEnd w:id="15"/>
    <w:p>
      <w:pPr>
        <w:ind w:firstLine="589"/>
        <w:spacing w:after="0" w:line="286" w:lineRule="auto"/>
        <w:rPr>
          <w:sz w:val="20"/>
          <w:szCs w:val="20"/>
          <w:color w:val="auto"/>
        </w:rPr>
      </w:pPr>
      <w:r>
        <w:rPr>
          <w:rFonts w:ascii="Arial" w:cs="Arial" w:eastAsia="Arial" w:hAnsi="Arial"/>
          <w:sz w:val="16"/>
          <w:szCs w:val="16"/>
          <w:color w:val="auto"/>
        </w:rPr>
        <w:t>The Company’s parts, service and body shop sales decreased 0.5% in 2008 compared to 2007. The Company’s truck dealerships overall absorption rate was 105.5%, in 2008 compared to 104.5% in 2007, while same store absorption rate increased to 106.2% for 2008.</w:t>
      </w:r>
    </w:p>
    <w:p>
      <w:pPr>
        <w:spacing w:after="0" w:line="150"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color w:val="auto"/>
        </w:rPr>
        <w:t>In 2008, the Company’s construction equipment segment revenue decreased by 13.8%. This decrease was largely attributable to the weakening construction market in the Houston area. Current industry forecasts suggest that construction equipment sales will decline approximately 30% in the Company’s area of responsibility during 2009.</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520" w:firstLine="589"/>
        <w:spacing w:after="0" w:line="286" w:lineRule="auto"/>
        <w:rPr>
          <w:sz w:val="20"/>
          <w:szCs w:val="20"/>
          <w:color w:val="auto"/>
        </w:rPr>
      </w:pPr>
      <w:r>
        <w:rPr>
          <w:rFonts w:ascii="Arial" w:cs="Arial" w:eastAsia="Arial" w:hAnsi="Arial"/>
          <w:sz w:val="16"/>
          <w:szCs w:val="16"/>
          <w:color w:val="auto"/>
        </w:rPr>
        <w:t>The Company is continuing its strategic focus to improve the quality of earnings by building a network that is diverse in product offerings, customer base and geography.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Dividend</w:t>
      </w:r>
    </w:p>
    <w:p>
      <w:pPr>
        <w:spacing w:after="0" w:line="213" w:lineRule="exact"/>
        <w:rPr>
          <w:sz w:val="20"/>
          <w:szCs w:val="20"/>
          <w:color w:val="auto"/>
        </w:rPr>
      </w:pPr>
    </w:p>
    <w:p>
      <w:pPr>
        <w:ind w:right="140" w:firstLine="589"/>
        <w:spacing w:after="0" w:line="262" w:lineRule="auto"/>
        <w:rPr>
          <w:sz w:val="20"/>
          <w:szCs w:val="20"/>
          <w:color w:val="auto"/>
        </w:rPr>
      </w:pPr>
      <w:r>
        <w:rPr>
          <w:rFonts w:ascii="Arial" w:cs="Arial" w:eastAsia="Arial" w:hAnsi="Arial"/>
          <w:sz w:val="16"/>
          <w:szCs w:val="16"/>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3" w:lineRule="exact"/>
        <w:rPr>
          <w:sz w:val="20"/>
          <w:szCs w:val="20"/>
          <w:color w:val="auto"/>
        </w:rPr>
      </w:pPr>
    </w:p>
    <w:p>
      <w:pPr>
        <w:ind w:right="20" w:firstLine="589"/>
        <w:spacing w:after="0" w:line="262"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Inventories</w:t>
      </w:r>
    </w:p>
    <w:p>
      <w:pPr>
        <w:spacing w:after="0" w:line="209"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 plus a reasonable profit margin.</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Goodwill</w:t>
      </w:r>
    </w:p>
    <w:p>
      <w:pPr>
        <w:spacing w:after="0" w:line="209"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6"/>
          <w:szCs w:val="16"/>
          <w:color w:val="auto"/>
        </w:rPr>
        <w:t>As stated in Note 2 of the Notes to the Consolidated Financial Statements, the Financial Accounting Standards Board’s (the “FASB”) Statement No. 142,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Intangible Assets</w:t>
      </w:r>
      <w:r>
        <w:rPr>
          <w:rFonts w:ascii="Arial" w:cs="Arial" w:eastAsia="Arial" w:hAnsi="Arial"/>
          <w:sz w:val="16"/>
          <w:szCs w:val="16"/>
          <w:color w:val="auto"/>
        </w:rPr>
        <w:t>” (“SFAS 142”) requires that goodwill and other intangible assets that have indefinite lives not be amortized but instead be tested at least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by reporting unit for impairment, or more frequently when events or changes in circumstances indicate that the asset might be impaired, and intangible assets that have finite useful lives should continue to be amortized over their useful lives. For indefinite lived intangible assets, impairment is tested by comparing the carrying value of the asset to the fair value of the reporting unit, which is the same as the segment to which they are assigned.</w:t>
      </w:r>
    </w:p>
    <w:p>
      <w:pPr>
        <w:spacing w:after="0" w:line="169" w:lineRule="exact"/>
        <w:rPr>
          <w:sz w:val="20"/>
          <w:szCs w:val="20"/>
          <w:color w:val="auto"/>
        </w:rPr>
      </w:pPr>
    </w:p>
    <w:p>
      <w:pPr>
        <w:jc w:val="both"/>
        <w:ind w:right="200" w:firstLine="589"/>
        <w:spacing w:after="0" w:line="289" w:lineRule="auto"/>
        <w:rPr>
          <w:sz w:val="20"/>
          <w:szCs w:val="20"/>
          <w:color w:val="auto"/>
        </w:rPr>
      </w:pPr>
      <w:r>
        <w:rPr>
          <w:rFonts w:ascii="Arial" w:cs="Arial" w:eastAsia="Arial" w:hAnsi="Arial"/>
          <w:sz w:val="15"/>
          <w:szCs w:val="15"/>
          <w:color w:val="auto"/>
        </w:rPr>
        <w:t>For its goodwill impairment tests, the Company determines the fair value of its reporting units using the discounted cash flow method. The discounted cash flow method uses various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 If the carrying amount of the reporting unit exceeds the estimated fair value determined using the discounted cash flow method, then goodwill impairment may be present.</w:t>
      </w:r>
    </w:p>
    <w:p>
      <w:pPr>
        <w:spacing w:after="0" w:line="150"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Goodwill was tested for impairment during the fourth quarter of 2008 and no impairment write down was required. However, the Company cannot predict the occurrence of certain events that might adversely affect the reported value of goodwill in the future. Such events may include, but are not limited to, strategic decisions made in response to economic and competitive conditions or the impact of the current economic environment.</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Revenue Recognition Policies</w:t>
      </w:r>
    </w:p>
    <w:p>
      <w:pPr>
        <w:spacing w:after="0" w:line="209"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Income on the sale of a truck or a piece of construction equipment is recognized when the customer executes a purchase contract with us, the unit has been delivered to the customer and there are no significant uncertainties related to financing or collectability. Lease and rental income is recognized over the period of the related lease or rental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Finance and Insurance Revenue Recognition</w:t>
      </w:r>
    </w:p>
    <w:p>
      <w:pPr>
        <w:spacing w:after="0" w:line="209" w:lineRule="exact"/>
        <w:rPr>
          <w:sz w:val="20"/>
          <w:szCs w:val="20"/>
          <w:color w:val="auto"/>
        </w:rPr>
      </w:pPr>
    </w:p>
    <w:p>
      <w:pPr>
        <w:ind w:right="20" w:firstLine="589"/>
        <w:spacing w:after="0" w:line="301" w:lineRule="auto"/>
        <w:rPr>
          <w:sz w:val="20"/>
          <w:szCs w:val="20"/>
          <w:color w:val="auto"/>
        </w:rPr>
      </w:pPr>
      <w:r>
        <w:rPr>
          <w:rFonts w:ascii="Arial" w:cs="Arial" w:eastAsia="Arial" w:hAnsi="Arial"/>
          <w:sz w:val="14"/>
          <w:szCs w:val="14"/>
          <w:color w:val="auto"/>
        </w:rPr>
        <w:t>Finance income related to the sale of a unit is recognized when the finance contract is sold to a finance company. During 2008, 2007 and 2006, finance contracts were not retained by the Company for any significant length of time because finance contracts are generally sold to finance companies concurrent with the sale of the related unit.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 Revenue is recognized by the Company upon the sale of such finance and insurance contracts to the finance and insurance companies net of a provision for estimated repossession losses and interest charge-backs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charge-back exposure is based on the Company’s historical charge-back expense</w:t>
      </w:r>
    </w:p>
    <w:p>
      <w:pPr>
        <w:sectPr>
          <w:pgSz w:w="11900" w:h="16838" w:orient="portrait"/>
          <w:cols w:equalWidth="0" w:num="1">
            <w:col w:w="11420"/>
          </w:cols>
          <w:pgMar w:left="240" w:top="323" w:right="239" w:bottom="0" w:gutter="0" w:footer="0" w:header="0"/>
        </w:sectPr>
      </w:pPr>
    </w:p>
    <w:bookmarkStart w:id="16" w:name="page17"/>
    <w:bookmarkEnd w:id="16"/>
    <w:p>
      <w:pPr>
        <w:ind w:left="2" w:right="300"/>
        <w:spacing w:after="0" w:line="286" w:lineRule="auto"/>
        <w:rPr>
          <w:sz w:val="20"/>
          <w:szCs w:val="20"/>
          <w:color w:val="auto"/>
        </w:rPr>
      </w:pPr>
      <w:r>
        <w:rPr>
          <w:rFonts w:ascii="Arial" w:cs="Arial" w:eastAsia="Arial" w:hAnsi="Arial"/>
          <w:sz w:val="16"/>
          <w:szCs w:val="16"/>
          <w:color w:val="auto"/>
        </w:rPr>
        <w:t>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50"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Insurance Accruals</w:t>
      </w:r>
    </w:p>
    <w:p>
      <w:pPr>
        <w:spacing w:after="0" w:line="209" w:lineRule="exact"/>
        <w:rPr>
          <w:sz w:val="20"/>
          <w:szCs w:val="20"/>
          <w:color w:val="auto"/>
        </w:rPr>
      </w:pPr>
    </w:p>
    <w:p>
      <w:pPr>
        <w:ind w:left="2" w:right="20" w:firstLine="589"/>
        <w:spacing w:after="0" w:line="271" w:lineRule="auto"/>
        <w:rPr>
          <w:sz w:val="20"/>
          <w:szCs w:val="20"/>
          <w:color w:val="auto"/>
        </w:rPr>
      </w:pPr>
      <w:r>
        <w:rPr>
          <w:rFonts w:ascii="Arial" w:cs="Arial" w:eastAsia="Arial" w:hAnsi="Arial"/>
          <w:sz w:val="16"/>
          <w:szCs w:val="16"/>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62"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Accounting for Income Taxes</w:t>
      </w:r>
    </w:p>
    <w:p>
      <w:pPr>
        <w:spacing w:after="0" w:line="209" w:lineRule="exact"/>
        <w:rPr>
          <w:sz w:val="20"/>
          <w:szCs w:val="20"/>
          <w:color w:val="auto"/>
        </w:rPr>
      </w:pPr>
    </w:p>
    <w:p>
      <w:pPr>
        <w:ind w:left="2" w:right="20" w:firstLine="589"/>
        <w:spacing w:after="0" w:line="262"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69" w:lineRule="exact"/>
        <w:rPr>
          <w:sz w:val="20"/>
          <w:szCs w:val="20"/>
          <w:color w:val="auto"/>
        </w:rPr>
      </w:pPr>
    </w:p>
    <w:p>
      <w:pPr>
        <w:jc w:val="both"/>
        <w:ind w:left="2" w:right="340" w:firstLine="589"/>
        <w:spacing w:after="0" w:line="362" w:lineRule="auto"/>
        <w:rPr>
          <w:sz w:val="20"/>
          <w:szCs w:val="20"/>
          <w:color w:val="auto"/>
        </w:rPr>
      </w:pPr>
      <w:r>
        <w:rPr>
          <w:rFonts w:ascii="Arial" w:cs="Arial" w:eastAsia="Arial" w:hAnsi="Arial"/>
          <w:sz w:val="14"/>
          <w:szCs w:val="14"/>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03" w:lineRule="exact"/>
        <w:rPr>
          <w:sz w:val="20"/>
          <w:szCs w:val="20"/>
          <w:color w:val="auto"/>
        </w:rPr>
      </w:pPr>
    </w:p>
    <w:p>
      <w:pPr>
        <w:ind w:left="2" w:firstLine="589"/>
        <w:spacing w:after="0" w:line="261"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9" w:lineRule="exact"/>
        <w:rPr>
          <w:sz w:val="20"/>
          <w:szCs w:val="20"/>
          <w:color w:val="auto"/>
        </w:rPr>
      </w:pPr>
    </w:p>
    <w:p>
      <w:pPr>
        <w:ind w:left="582"/>
        <w:spacing w:after="0"/>
        <w:rPr>
          <w:sz w:val="20"/>
          <w:szCs w:val="20"/>
          <w:color w:val="auto"/>
        </w:rPr>
      </w:pPr>
      <w:r>
        <w:rPr>
          <w:rFonts w:ascii="Arial" w:cs="Arial" w:eastAsia="Arial" w:hAnsi="Arial"/>
          <w:sz w:val="16"/>
          <w:szCs w:val="16"/>
          <w:color w:val="auto"/>
        </w:rPr>
        <w:t>For additional information regarding the adoption of FIN 48, see Note 15 of Notes to the Consolidated Financial Statements.</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Stock Based Compensation</w:t>
      </w:r>
    </w:p>
    <w:p>
      <w:pPr>
        <w:spacing w:after="0" w:line="209" w:lineRule="exact"/>
        <w:rPr>
          <w:sz w:val="20"/>
          <w:szCs w:val="20"/>
          <w:color w:val="auto"/>
        </w:rPr>
      </w:pPr>
    </w:p>
    <w:p>
      <w:pPr>
        <w:ind w:left="2" w:right="400" w:firstLine="589"/>
        <w:spacing w:after="0" w:line="266" w:lineRule="auto"/>
        <w:rPr>
          <w:sz w:val="20"/>
          <w:szCs w:val="20"/>
          <w:color w:val="auto"/>
        </w:rPr>
      </w:pPr>
      <w:r>
        <w:rPr>
          <w:rFonts w:ascii="Arial" w:cs="Arial" w:eastAsia="Arial" w:hAnsi="Arial"/>
          <w:sz w:val="16"/>
          <w:szCs w:val="16"/>
          <w:color w:val="auto"/>
        </w:rPr>
        <w:t>The Company accounts for stock-based compensation in accordance with Statement of Financial Accounting Standards No. 123 (revised 2004), “Share-Based Payment,” (“SFAS 123(R)”),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w:t>
      </w:r>
    </w:p>
    <w:p>
      <w:pPr>
        <w:spacing w:after="0" w:line="166" w:lineRule="exact"/>
        <w:rPr>
          <w:sz w:val="20"/>
          <w:szCs w:val="20"/>
          <w:color w:val="auto"/>
        </w:rPr>
      </w:pPr>
    </w:p>
    <w:p>
      <w:pPr>
        <w:ind w:left="2" w:firstLine="589"/>
        <w:spacing w:after="0" w:line="266"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The Company’s Consolidated Financial Statements reflect the impact of SFAS 123(R). Stock-based compensation expense related to stock options and employee stock purchases under SFAS 123(R) for the year ended December 31, 2008, was $3.6 million, for the year ended December 31, 2007, was $3.4 million and for the year ended December 31, 2006, was $2.6 million.</w:t>
      </w:r>
    </w:p>
    <w:p>
      <w:pPr>
        <w:spacing w:after="0" w:line="166" w:lineRule="exact"/>
        <w:rPr>
          <w:sz w:val="20"/>
          <w:szCs w:val="20"/>
          <w:color w:val="auto"/>
        </w:rPr>
      </w:pPr>
    </w:p>
    <w:p>
      <w:pPr>
        <w:ind w:left="2" w:right="100" w:firstLine="589"/>
        <w:spacing w:after="0" w:line="261" w:lineRule="auto"/>
        <w:rPr>
          <w:sz w:val="20"/>
          <w:szCs w:val="20"/>
          <w:color w:val="auto"/>
        </w:rPr>
      </w:pPr>
      <w:r>
        <w:rPr>
          <w:rFonts w:ascii="Arial" w:cs="Arial" w:eastAsia="Arial" w:hAnsi="Arial"/>
          <w:sz w:val="16"/>
          <w:szCs w:val="16"/>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Statements of Income. Stock-based compensation expense is based on the fair value of the portion of share-based payment awards that is ultimately expected to vest during the period. In conjunction with the adoption of SFAS 123(R), compensation expense for all share-based payment awards is recognized using the straight-line single-option method. As stock-based compensation expense recognized in the Consolidated Statements of Income is based on awards ultimately expected to vest, it has been reduced for estimated forfeitures. SFAS 123(R) requires forfeitures to be estimated at the time of grant and revised, if necessary, in subsequent periods if actual forfeitures differ from those estimates.</w:t>
      </w:r>
    </w:p>
    <w:p>
      <w:pPr>
        <w:spacing w:after="0" w:line="169" w:lineRule="exact"/>
        <w:rPr>
          <w:sz w:val="20"/>
          <w:szCs w:val="20"/>
          <w:color w:val="auto"/>
        </w:rPr>
      </w:pPr>
    </w:p>
    <w:p>
      <w:pPr>
        <w:ind w:left="2" w:firstLine="589"/>
        <w:spacing w:after="0" w:line="280" w:lineRule="auto"/>
        <w:rPr>
          <w:sz w:val="20"/>
          <w:szCs w:val="20"/>
          <w:color w:val="auto"/>
        </w:rPr>
      </w:pPr>
      <w:r>
        <w:rPr>
          <w:rFonts w:ascii="Arial" w:cs="Arial" w:eastAsia="Arial" w:hAnsi="Arial"/>
          <w:sz w:val="15"/>
          <w:szCs w:val="15"/>
          <w:color w:val="auto"/>
        </w:rPr>
        <w:t>The Company continues to use the Black-Scholes option-pricing model. For additional information, see Note 12.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using an option-pricing model, that value may not be indicative of the fair value observed in a market transaction between a willing buyer and a willing seller.</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New Accounting Standards</w:t>
      </w:r>
    </w:p>
    <w:p>
      <w:pPr>
        <w:spacing w:after="0" w:line="21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In December 2007, the FASB issued SFAS No. 141(R), “Business Combinations” (“SFAS 141(R)”), which establishes principles and requirements for how the</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5"/>
          <w:szCs w:val="15"/>
          <w:color w:val="auto"/>
        </w:rPr>
        <w:t>acquirer: (a) recognizes and measures in its financial statements the identifiable assets acquired, the liabilities assumed, and any noncontrolling interest in the acquiree;</w:t>
      </w:r>
    </w:p>
    <w:p>
      <w:pPr>
        <w:spacing w:after="0" w:line="24" w:lineRule="exact"/>
        <w:rPr>
          <w:sz w:val="20"/>
          <w:szCs w:val="20"/>
          <w:color w:val="auto"/>
        </w:rPr>
      </w:pPr>
    </w:p>
    <w:p>
      <w:pPr>
        <w:ind w:left="2" w:right="60" w:hanging="2"/>
        <w:spacing w:after="0" w:line="258" w:lineRule="auto"/>
        <w:tabs>
          <w:tab w:leader="none" w:pos="23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141(R) to have a significant impact on its consolidated results of operations and financial position, but will impact accounting for any business combinations that close on or after January 1, 2009.</w:t>
      </w:r>
    </w:p>
    <w:p>
      <w:pPr>
        <w:spacing w:after="0" w:line="174" w:lineRule="exact"/>
        <w:rPr>
          <w:sz w:val="20"/>
          <w:szCs w:val="20"/>
          <w:color w:val="auto"/>
        </w:rPr>
      </w:pPr>
    </w:p>
    <w:p>
      <w:pPr>
        <w:ind w:left="2" w:right="80" w:firstLine="589"/>
        <w:spacing w:after="0" w:line="263" w:lineRule="auto"/>
        <w:rPr>
          <w:sz w:val="20"/>
          <w:szCs w:val="20"/>
          <w:color w:val="auto"/>
        </w:rPr>
      </w:pPr>
      <w:r>
        <w:rPr>
          <w:rFonts w:ascii="Arial" w:cs="Arial" w:eastAsia="Arial" w:hAnsi="Arial"/>
          <w:sz w:val="16"/>
          <w:szCs w:val="16"/>
          <w:color w:val="auto"/>
        </w:rPr>
        <w:t>In June 2008, the FASB issued FASB Staff Position EITF 03-6-1, “Determining Whether Instruments Granted in Share-Based Payment Transactions are Participating Securities.” EITF 03-6-1 requires unvested share-based payment awards that contain non-forfeitable rights to dividends or dividend equivalents to be treated as participating securities as defined in EITF Issue No. 03-6, “Participating Securities and the Two-Class Method under FASB Statement No. 128,” and, therefore, included in the earnings allocation in computing earnings per share under the two-class method described in FASB Statement No. 128, “Earnings per Share.” Upon adoption, all previously reported earnings per share data should be</w:t>
      </w:r>
    </w:p>
    <w:p>
      <w:pPr>
        <w:sectPr>
          <w:pgSz w:w="11900" w:h="16839" w:orient="portrait"/>
          <w:cols w:equalWidth="0" w:num="1">
            <w:col w:w="11422"/>
          </w:cols>
          <w:pgMar w:left="238" w:top="127" w:right="239" w:bottom="0" w:gutter="0" w:footer="0" w:header="0"/>
        </w:sectPr>
      </w:pPr>
    </w:p>
    <w:p>
      <w:pPr>
        <w:spacing w:after="0" w:line="16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w:t>
      </w:r>
    </w:p>
    <w:p>
      <w:pPr>
        <w:sectPr>
          <w:pgSz w:w="11900" w:h="16839" w:orient="portrait"/>
          <w:cols w:equalWidth="0" w:num="1">
            <w:col w:w="11422"/>
          </w:cols>
          <w:pgMar w:left="238" w:top="127" w:right="239" w:bottom="0" w:gutter="0" w:footer="0" w:header="0"/>
          <w:type w:val="continuous"/>
        </w:sectPr>
      </w:pPr>
    </w:p>
    <w:bookmarkStart w:id="17" w:name="page18"/>
    <w:bookmarkEnd w:id="17"/>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640" cy="26035"/>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adjusted retrospectively to conform with the requirements of EITF 03-6-1. The Company is required to adopt EITF 03-6-1 starting in 2009. The Company does not expect EITF 03-6-1 to have an effect on its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w:t>
      </w:r>
    </w:p>
    <w:p>
      <w:pPr>
        <w:spacing w:after="0" w:line="213" w:lineRule="exact"/>
        <w:rPr>
          <w:sz w:val="20"/>
          <w:szCs w:val="20"/>
          <w:color w:val="auto"/>
        </w:rPr>
      </w:pPr>
    </w:p>
    <w:p>
      <w:pPr>
        <w:jc w:val="both"/>
        <w:ind w:right="280" w:firstLine="589"/>
        <w:spacing w:after="0" w:line="298" w:lineRule="auto"/>
        <w:rPr>
          <w:sz w:val="20"/>
          <w:szCs w:val="20"/>
          <w:color w:val="auto"/>
        </w:rPr>
      </w:pPr>
      <w:r>
        <w:rPr>
          <w:rFonts w:ascii="Arial" w:cs="Arial" w:eastAsia="Arial" w:hAnsi="Arial"/>
          <w:sz w:val="14"/>
          <w:szCs w:val="14"/>
          <w:i w:val="1"/>
          <w:iCs w:val="1"/>
          <w:color w:val="auto"/>
        </w:rPr>
        <w:t xml:space="preserve">Absorption Rate. </w:t>
      </w:r>
      <w:r>
        <w:rPr>
          <w:rFonts w:ascii="Arial" w:cs="Arial" w:eastAsia="Arial" w:hAnsi="Arial"/>
          <w:sz w:val="14"/>
          <w:szCs w:val="14"/>
          <w:color w:val="auto"/>
        </w:rPr>
        <w:t>The management of the Company uses several performance metrics to evaluate the performance of its dealerships. The Company considers its</w:t>
      </w:r>
      <w:r>
        <w:rPr>
          <w:rFonts w:ascii="Arial" w:cs="Arial" w:eastAsia="Arial" w:hAnsi="Arial"/>
          <w:sz w:val="14"/>
          <w:szCs w:val="14"/>
          <w:i w:val="1"/>
          <w:iCs w:val="1"/>
          <w:color w:val="auto"/>
        </w:rPr>
        <w:t xml:space="preserve"> </w:t>
      </w:r>
      <w:r>
        <w:rPr>
          <w:rFonts w:ascii="Arial" w:cs="Arial" w:eastAsia="Arial" w:hAnsi="Arial"/>
          <w:sz w:val="14"/>
          <w:szCs w:val="14"/>
          <w:color w:val="auto"/>
        </w:rPr>
        <w:t>“absorption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w:t>
      </w:r>
    </w:p>
    <w:p>
      <w:pPr>
        <w:ind w:right="40"/>
        <w:spacing w:after="0" w:line="264" w:lineRule="auto"/>
        <w:rPr>
          <w:sz w:val="20"/>
          <w:szCs w:val="20"/>
          <w:color w:val="auto"/>
        </w:rPr>
      </w:pPr>
      <w:r>
        <w:rPr>
          <w:rFonts w:ascii="Arial" w:cs="Arial" w:eastAsia="Arial" w:hAnsi="Arial"/>
          <w:sz w:val="16"/>
          <w:szCs w:val="16"/>
          <w:color w:val="auto"/>
        </w:rPr>
        <w:t>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then. The Company’s truck dealerships achieved a 104.5% absorption rate for the year in 2007 and 105.5% absorption rate for the year in 2008.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2008, 2007 and 2006.</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for the years indicated certain financial data as a percentage of total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32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w w:val="96"/>
              </w:rPr>
              <w:t>Year Ended December 31,</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9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80" w:type="dxa"/>
            <w:vAlign w:val="bottom"/>
            <w:tcBorders>
              <w:bottom w:val="single" w:sz="8" w:color="auto"/>
            </w:tcBorders>
          </w:tcPr>
          <w:p>
            <w:pPr>
              <w:jc w:val="right"/>
              <w:ind w:right="223"/>
              <w:spacing w:after="0" w:line="128"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860" w:type="dxa"/>
            <w:vAlign w:val="bottom"/>
            <w:tcBorders>
              <w:bottom w:val="single" w:sz="8" w:color="auto"/>
            </w:tcBorders>
          </w:tcPr>
          <w:p>
            <w:pPr>
              <w:jc w:val="right"/>
              <w:ind w:right="219"/>
              <w:spacing w:after="0" w:line="12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9"/>
              <w:spacing w:after="0" w:line="128" w:lineRule="exact"/>
              <w:rPr>
                <w:sz w:val="20"/>
                <w:szCs w:val="20"/>
                <w:color w:val="auto"/>
              </w:rPr>
            </w:pPr>
            <w:r>
              <w:rPr>
                <w:rFonts w:ascii="Arial" w:cs="Arial" w:eastAsia="Arial" w:hAnsi="Arial"/>
                <w:sz w:val="13"/>
                <w:szCs w:val="13"/>
                <w:b w:val="1"/>
                <w:bCs w:val="1"/>
                <w:color w:val="auto"/>
              </w:rPr>
              <w:t>2006</w:t>
            </w: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New and used truck sales</w:t>
            </w:r>
          </w:p>
        </w:tc>
        <w:tc>
          <w:tcPr>
            <w:tcW w:w="42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68.6 %</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75.8 %</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6"/>
                <w:szCs w:val="16"/>
                <w:color w:val="auto"/>
              </w:rPr>
              <w:t>Parts and service</w:t>
            </w:r>
          </w:p>
        </w:tc>
        <w:tc>
          <w:tcPr>
            <w:tcW w:w="4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28.9</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Construction equipment sales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6"/>
                <w:szCs w:val="16"/>
                <w:color w:val="auto"/>
              </w:rPr>
              <w:t>Lease and rental</w:t>
            </w:r>
          </w:p>
        </w:tc>
        <w:tc>
          <w:tcPr>
            <w:tcW w:w="4060" w:type="dxa"/>
            <w:vAlign w:val="bottom"/>
            <w:gridSpan w:val="2"/>
          </w:tcPr>
          <w:p>
            <w:pPr>
              <w:jc w:val="right"/>
              <w:spacing w:after="0"/>
              <w:rPr>
                <w:sz w:val="20"/>
                <w:szCs w:val="20"/>
                <w:color w:val="auto"/>
              </w:rPr>
            </w:pPr>
            <w:r>
              <w:rPr>
                <w:rFonts w:ascii="Arial" w:cs="Arial" w:eastAsia="Arial" w:hAnsi="Arial"/>
                <w:sz w:val="16"/>
                <w:szCs w:val="16"/>
                <w:b w:val="1"/>
                <w:bCs w:val="1"/>
                <w:color w:val="auto"/>
              </w:rPr>
              <w:t>3.3</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Finance and insurance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6"/>
                <w:szCs w:val="16"/>
                <w:color w:val="auto"/>
              </w:rPr>
              <w:t>Other</w:t>
            </w:r>
          </w:p>
        </w:tc>
        <w:tc>
          <w:tcPr>
            <w:tcW w:w="4060" w:type="dxa"/>
            <w:vAlign w:val="bottom"/>
            <w:gridSpan w:val="2"/>
          </w:tcPr>
          <w:p>
            <w:pPr>
              <w:jc w:val="right"/>
              <w:spacing w:after="0"/>
              <w:rPr>
                <w:sz w:val="20"/>
                <w:szCs w:val="20"/>
                <w:color w:val="auto"/>
              </w:rPr>
            </w:pPr>
            <w:r>
              <w:rPr>
                <w:rFonts w:ascii="Arial" w:cs="Arial" w:eastAsia="Arial" w:hAnsi="Arial"/>
                <w:sz w:val="16"/>
                <w:szCs w:val="16"/>
                <w:b w:val="1"/>
                <w:bCs w:val="1"/>
                <w:color w:val="auto"/>
              </w:rPr>
              <w:t>0.4</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Cost of products sold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82.0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31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2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Borders>
              <w:bottom w:val="single" w:sz="8" w:color="CCEEFF"/>
            </w:tcBorders>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4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13.8</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Operating income</w:t>
            </w:r>
          </w:p>
        </w:tc>
        <w:tc>
          <w:tcPr>
            <w:tcW w:w="31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1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60" w:type="dxa"/>
            <w:vAlign w:val="bottom"/>
          </w:tcPr>
          <w:p>
            <w:pPr>
              <w:spacing w:after="0"/>
              <w:rPr>
                <w:sz w:val="20"/>
                <w:szCs w:val="20"/>
                <w:color w:val="auto"/>
              </w:rPr>
            </w:pPr>
            <w:r>
              <w:rPr>
                <w:rFonts w:ascii="Arial" w:cs="Arial" w:eastAsia="Arial" w:hAnsi="Arial"/>
                <w:sz w:val="16"/>
                <w:szCs w:val="16"/>
                <w:color w:val="auto"/>
              </w:rPr>
              <w:t>Net income</w:t>
            </w:r>
          </w:p>
        </w:tc>
        <w:tc>
          <w:tcPr>
            <w:tcW w:w="3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180" w:type="dxa"/>
            <w:vAlign w:val="bottom"/>
            <w:vMerge w:val="restart"/>
          </w:tcPr>
          <w:p>
            <w:pPr>
              <w:jc w:val="right"/>
              <w:ind w:right="1258"/>
              <w:spacing w:after="0"/>
              <w:rPr>
                <w:sz w:val="20"/>
                <w:szCs w:val="20"/>
                <w:color w:val="auto"/>
              </w:rPr>
            </w:pPr>
            <w:r>
              <w:rPr>
                <w:rFonts w:ascii="Arial" w:cs="Arial" w:eastAsia="Arial" w:hAnsi="Arial"/>
                <w:sz w:val="16"/>
                <w:szCs w:val="16"/>
                <w:color w:val="auto"/>
              </w:rPr>
              <w:t>27</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9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60" w:type="dxa"/>
            <w:vAlign w:val="bottom"/>
            <w:tcBorders>
              <w:bottom w:val="single" w:sz="8" w:color="010101"/>
            </w:tcBorders>
          </w:tcPr>
          <w:p>
            <w:pPr>
              <w:spacing w:after="0"/>
              <w:rPr>
                <w:sz w:val="10"/>
                <w:szCs w:val="10"/>
                <w:color w:val="auto"/>
              </w:rPr>
            </w:pPr>
          </w:p>
        </w:tc>
        <w:tc>
          <w:tcPr>
            <w:tcW w:w="3180" w:type="dxa"/>
            <w:vAlign w:val="bottom"/>
            <w:tcBorders>
              <w:bottom w:val="single" w:sz="8" w:color="010101"/>
            </w:tcBorders>
          </w:tcPr>
          <w:p>
            <w:pPr>
              <w:spacing w:after="0"/>
              <w:rPr>
                <w:sz w:val="10"/>
                <w:szCs w:val="10"/>
                <w:color w:val="auto"/>
              </w:rPr>
            </w:pPr>
          </w:p>
        </w:tc>
        <w:tc>
          <w:tcPr>
            <w:tcW w:w="88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86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66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118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3"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540" w:firstLine="589"/>
        <w:spacing w:after="0" w:line="286" w:lineRule="auto"/>
        <w:rPr>
          <w:sz w:val="20"/>
          <w:szCs w:val="20"/>
          <w:color w:val="auto"/>
        </w:rPr>
      </w:pPr>
      <w:r>
        <w:rPr>
          <w:rFonts w:ascii="Arial" w:cs="Arial" w:eastAsia="Arial" w:hAnsi="Arial"/>
          <w:sz w:val="16"/>
          <w:szCs w:val="16"/>
          <w:color w:val="auto"/>
        </w:rPr>
        <w:t>The following table sets forth the unit sales and revenue for new heavy-duty, new medium-duty and used trucks and the absorption rate for the years indicated (revenue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95"/>
              </w:rPr>
              <w:t>% Change</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07"/>
        </w:trPr>
        <w:tc>
          <w:tcPr>
            <w:tcW w:w="5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ind w:right="203"/>
              <w:spacing w:after="0" w:line="107" w:lineRule="exact"/>
              <w:rPr>
                <w:sz w:val="20"/>
                <w:szCs w:val="20"/>
                <w:color w:val="auto"/>
              </w:rPr>
            </w:pPr>
            <w:r>
              <w:rPr>
                <w:rFonts w:ascii="Arial" w:cs="Arial" w:eastAsia="Arial" w:hAnsi="Arial"/>
                <w:sz w:val="12"/>
                <w:szCs w:val="12"/>
                <w:b w:val="1"/>
                <w:bCs w:val="1"/>
                <w:color w:val="auto"/>
              </w:rPr>
              <w:t>2008</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jc w:val="right"/>
              <w:ind w:right="182"/>
              <w:spacing w:after="0" w:line="107" w:lineRule="exact"/>
              <w:rPr>
                <w:sz w:val="20"/>
                <w:szCs w:val="20"/>
                <w:color w:val="auto"/>
              </w:rPr>
            </w:pPr>
            <w:r>
              <w:rPr>
                <w:rFonts w:ascii="Arial" w:cs="Arial" w:eastAsia="Arial" w:hAnsi="Arial"/>
                <w:sz w:val="12"/>
                <w:szCs w:val="12"/>
                <w:b w:val="1"/>
                <w:bCs w:val="1"/>
                <w:color w:val="auto"/>
              </w:rPr>
              <w:t>2007</w:t>
            </w:r>
          </w:p>
        </w:tc>
        <w:tc>
          <w:tcPr>
            <w:tcW w:w="160" w:type="dxa"/>
            <w:vAlign w:val="bottom"/>
          </w:tcPr>
          <w:p>
            <w:pPr>
              <w:spacing w:after="0"/>
              <w:rPr>
                <w:sz w:val="9"/>
                <w:szCs w:val="9"/>
                <w:color w:val="auto"/>
              </w:rPr>
            </w:pPr>
          </w:p>
        </w:tc>
      </w:tr>
      <w:tr>
        <w:trPr>
          <w:trHeight w:val="135"/>
        </w:trPr>
        <w:tc>
          <w:tcPr>
            <w:tcW w:w="5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360"/>
              <w:spacing w:after="0" w:line="135" w:lineRule="exact"/>
              <w:rPr>
                <w:sz w:val="20"/>
                <w:szCs w:val="20"/>
                <w:color w:val="auto"/>
              </w:rPr>
            </w:pPr>
            <w:r>
              <w:rPr>
                <w:rFonts w:ascii="Arial" w:cs="Arial" w:eastAsia="Arial" w:hAnsi="Arial"/>
                <w:sz w:val="13"/>
                <w:szCs w:val="13"/>
                <w:b w:val="1"/>
                <w:bCs w:val="1"/>
                <w:color w:val="auto"/>
              </w:rPr>
              <w:t>vs</w:t>
            </w:r>
          </w:p>
        </w:tc>
        <w:tc>
          <w:tcPr>
            <w:tcW w:w="720" w:type="dxa"/>
            <w:vAlign w:val="bottom"/>
            <w:gridSpan w:val="2"/>
          </w:tcPr>
          <w:p>
            <w:pPr>
              <w:jc w:val="right"/>
              <w:ind w:right="418"/>
              <w:spacing w:after="0" w:line="135" w:lineRule="exact"/>
              <w:rPr>
                <w:sz w:val="20"/>
                <w:szCs w:val="20"/>
                <w:color w:val="auto"/>
              </w:rPr>
            </w:pPr>
            <w:r>
              <w:rPr>
                <w:rFonts w:ascii="Arial" w:cs="Arial" w:eastAsia="Arial" w:hAnsi="Arial"/>
                <w:sz w:val="13"/>
                <w:szCs w:val="13"/>
                <w:b w:val="1"/>
                <w:bCs w:val="1"/>
                <w:color w:val="auto"/>
              </w:rPr>
              <w:t>vs</w:t>
            </w:r>
          </w:p>
        </w:tc>
      </w:tr>
      <w:tr>
        <w:trPr>
          <w:trHeight w:val="155"/>
        </w:trPr>
        <w:tc>
          <w:tcPr>
            <w:tcW w:w="580" w:type="dxa"/>
            <w:vAlign w:val="bottom"/>
          </w:tcPr>
          <w:p>
            <w:pPr>
              <w:spacing w:after="0"/>
              <w:rPr>
                <w:sz w:val="13"/>
                <w:szCs w:val="13"/>
                <w:color w:val="auto"/>
              </w:rPr>
            </w:pPr>
          </w:p>
        </w:tc>
        <w:tc>
          <w:tcPr>
            <w:tcW w:w="2300" w:type="dxa"/>
            <w:vAlign w:val="bottom"/>
            <w:tcBorders>
              <w:bottom w:val="single" w:sz="8" w:color="CCEEFF"/>
            </w:tcBorders>
          </w:tcPr>
          <w:p>
            <w:pPr>
              <w:spacing w:after="0"/>
              <w:rPr>
                <w:sz w:val="13"/>
                <w:szCs w:val="13"/>
                <w:color w:val="auto"/>
              </w:rPr>
            </w:pPr>
          </w:p>
        </w:tc>
        <w:tc>
          <w:tcPr>
            <w:tcW w:w="3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2007</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2006</w:t>
            </w: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2007</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w w:val="96"/>
              </w:rPr>
              <w:t>2006</w:t>
            </w:r>
          </w:p>
        </w:tc>
        <w:tc>
          <w:tcPr>
            <w:tcW w:w="160" w:type="dxa"/>
            <w:vAlign w:val="bottom"/>
            <w:tcBorders>
              <w:bottom w:val="single" w:sz="8" w:color="CCEEFF"/>
            </w:tcBorders>
          </w:tcPr>
          <w:p>
            <w:pPr>
              <w:spacing w:after="0"/>
              <w:rPr>
                <w:sz w:val="13"/>
                <w:szCs w:val="13"/>
                <w:color w:val="auto"/>
              </w:rPr>
            </w:pPr>
          </w:p>
        </w:tc>
      </w:tr>
      <w:tr>
        <w:trPr>
          <w:trHeight w:val="176"/>
        </w:trPr>
        <w:tc>
          <w:tcPr>
            <w:tcW w:w="580" w:type="dxa"/>
            <w:vAlign w:val="bottom"/>
          </w:tcPr>
          <w:p>
            <w:pPr>
              <w:spacing w:after="0"/>
              <w:rPr>
                <w:sz w:val="15"/>
                <w:szCs w:val="15"/>
                <w:color w:val="auto"/>
              </w:rPr>
            </w:pPr>
          </w:p>
        </w:tc>
        <w:tc>
          <w:tcPr>
            <w:tcW w:w="5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Truck unit sales: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color w:val="auto"/>
              </w:rPr>
              <w:t>New heavy-duty trucks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11,799</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-23.7 %</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-38.7 %</w:t>
            </w:r>
          </w:p>
        </w:tc>
      </w:tr>
      <w:tr>
        <w:trPr>
          <w:trHeight w:val="196"/>
        </w:trPr>
        <w:tc>
          <w:tcPr>
            <w:tcW w:w="580" w:type="dxa"/>
            <w:vAlign w:val="bottom"/>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 medium-duty trucks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16.8 %</w:t>
            </w:r>
          </w:p>
        </w:tc>
      </w:tr>
      <w:tr>
        <w:trPr>
          <w:trHeight w:val="189"/>
        </w:trPr>
        <w:tc>
          <w:tcPr>
            <w:tcW w:w="580" w:type="dxa"/>
            <w:vAlign w:val="bottom"/>
          </w:tcPr>
          <w:p>
            <w:pPr>
              <w:spacing w:after="0"/>
              <w:rPr>
                <w:sz w:val="16"/>
                <w:szCs w:val="16"/>
                <w:color w:val="auto"/>
              </w:rPr>
            </w:pPr>
          </w:p>
        </w:tc>
        <w:tc>
          <w:tcPr>
            <w:tcW w:w="5400" w:type="dxa"/>
            <w:vAlign w:val="bottom"/>
            <w:gridSpan w:val="2"/>
          </w:tcPr>
          <w:p>
            <w:pPr>
              <w:ind w:left="180"/>
              <w:spacing w:after="0"/>
              <w:rPr>
                <w:sz w:val="20"/>
                <w:szCs w:val="20"/>
                <w:color w:val="auto"/>
              </w:rPr>
            </w:pPr>
            <w:r>
              <w:rPr>
                <w:rFonts w:ascii="Arial" w:cs="Arial" w:eastAsia="Arial" w:hAnsi="Arial"/>
                <w:sz w:val="16"/>
                <w:szCs w:val="16"/>
                <w:color w:val="auto"/>
              </w:rPr>
              <w:t>Total new truck unit sales</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9,289</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12,712</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16,492</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96"/>
        </w:trPr>
        <w:tc>
          <w:tcPr>
            <w:tcW w:w="58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color w:val="auto"/>
              </w:rPr>
              <w:t>Used trucks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4,101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4,005</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-21.1 %</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196"/>
        </w:trPr>
        <w:tc>
          <w:tcPr>
            <w:tcW w:w="58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Truck revenue: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 heavy-duty trucks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-33.8 %</w:t>
            </w:r>
          </w:p>
        </w:tc>
      </w:tr>
      <w:tr>
        <w:trPr>
          <w:trHeight w:val="196"/>
        </w:trPr>
        <w:tc>
          <w:tcPr>
            <w:tcW w:w="58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Arial" w:cs="Arial" w:eastAsia="Arial" w:hAnsi="Arial"/>
                <w:sz w:val="16"/>
                <w:szCs w:val="16"/>
                <w:color w:val="auto"/>
              </w:rPr>
              <w:t>New medium-duty trucks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253.0</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-23.3 %</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14.4 %</w:t>
            </w:r>
          </w:p>
        </w:tc>
      </w:tr>
      <w:tr>
        <w:trPr>
          <w:trHeight w:val="189"/>
        </w:trPr>
        <w:tc>
          <w:tcPr>
            <w:tcW w:w="580" w:type="dxa"/>
            <w:vAlign w:val="bottom"/>
          </w:tcPr>
          <w:p>
            <w:pPr>
              <w:spacing w:after="0"/>
              <w:rPr>
                <w:sz w:val="16"/>
                <w:szCs w:val="16"/>
                <w:color w:val="auto"/>
              </w:rPr>
            </w:pPr>
          </w:p>
        </w:tc>
        <w:tc>
          <w:tcPr>
            <w:tcW w:w="54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new truck revenue</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1,161.2</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96"/>
        </w:trPr>
        <w:tc>
          <w:tcPr>
            <w:tcW w:w="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Used truck revenue</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196"/>
        </w:trPr>
        <w:tc>
          <w:tcPr>
            <w:tcW w:w="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truck revenue(1)</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-81.9 %</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15.9 %</w:t>
            </w:r>
          </w:p>
        </w:tc>
      </w:tr>
      <w:tr>
        <w:trPr>
          <w:trHeight w:val="196"/>
        </w:trPr>
        <w:tc>
          <w:tcPr>
            <w:tcW w:w="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Truck dealership absorption rate:</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105.5 %</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104.5 %</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105.2 %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98"/>
        </w:trPr>
        <w:tc>
          <w:tcPr>
            <w:tcW w:w="2880" w:type="dxa"/>
            <w:vAlign w:val="bottom"/>
            <w:tcBorders>
              <w:bottom w:val="single" w:sz="8" w:color="auto"/>
            </w:tcBorders>
            <w:gridSpan w:val="2"/>
          </w:tcPr>
          <w:p>
            <w:pPr>
              <w:spacing w:after="0"/>
              <w:rPr>
                <w:sz w:val="8"/>
                <w:szCs w:val="8"/>
                <w:color w:val="auto"/>
              </w:rPr>
            </w:pPr>
          </w:p>
        </w:tc>
        <w:tc>
          <w:tcPr>
            <w:tcW w:w="3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86"/>
        </w:trPr>
        <w:tc>
          <w:tcPr>
            <w:tcW w:w="5980" w:type="dxa"/>
            <w:vAlign w:val="bottom"/>
            <w:gridSpan w:val="3"/>
          </w:tcPr>
          <w:p>
            <w:pPr>
              <w:ind w:left="580"/>
              <w:spacing w:after="0"/>
              <w:rPr>
                <w:sz w:val="20"/>
                <w:szCs w:val="20"/>
                <w:color w:val="auto"/>
              </w:rPr>
            </w:pPr>
            <w:r>
              <w:rPr>
                <w:rFonts w:ascii="Arial" w:cs="Arial" w:eastAsia="Arial" w:hAnsi="Arial"/>
                <w:sz w:val="16"/>
                <w:szCs w:val="16"/>
                <w:color w:val="auto"/>
                <w:w w:val="96"/>
              </w:rPr>
              <w:t>(1) Includes sales of glider kits, truck bodies, trailers and other new equipment.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w:t>
      </w:r>
    </w:p>
    <w:p>
      <w:pPr>
        <w:spacing w:after="0" w:line="213" w:lineRule="exact"/>
        <w:rPr>
          <w:sz w:val="20"/>
          <w:szCs w:val="20"/>
          <w:color w:val="auto"/>
        </w:rPr>
      </w:pPr>
    </w:p>
    <w:p>
      <w:pPr>
        <w:ind w:right="520" w:firstLine="589"/>
        <w:spacing w:after="0" w:line="286" w:lineRule="auto"/>
        <w:rPr>
          <w:sz w:val="20"/>
          <w:szCs w:val="20"/>
          <w:color w:val="auto"/>
        </w:rPr>
      </w:pPr>
      <w:r>
        <w:rPr>
          <w:rFonts w:ascii="Arial" w:cs="Arial" w:eastAsia="Arial" w:hAnsi="Arial"/>
          <w:sz w:val="16"/>
          <w:szCs w:val="16"/>
          <w:color w:val="auto"/>
        </w:rPr>
        <w:t>We currently operate in the heavy- and medium-duty truck and construction equipment markets. There has historically been a high correlation in both of these markets between new product sales, the rate of change in U.S. industrial production and the U.S. gross domestic product.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Heavy-Duty Truck Market</w:t>
      </w:r>
    </w:p>
    <w:p>
      <w:pPr>
        <w:spacing w:after="0" w:line="209" w:lineRule="exact"/>
        <w:rPr>
          <w:sz w:val="20"/>
          <w:szCs w:val="20"/>
          <w:color w:val="auto"/>
        </w:rPr>
      </w:pPr>
    </w:p>
    <w:p>
      <w:pPr>
        <w:ind w:right="240" w:firstLine="589"/>
        <w:spacing w:after="0" w:line="362" w:lineRule="auto"/>
        <w:rPr>
          <w:sz w:val="20"/>
          <w:szCs w:val="20"/>
          <w:color w:val="auto"/>
        </w:rPr>
      </w:pPr>
      <w:r>
        <w:rPr>
          <w:rFonts w:ascii="Arial" w:cs="Arial" w:eastAsia="Arial" w:hAnsi="Arial"/>
          <w:sz w:val="14"/>
          <w:szCs w:val="14"/>
          <w:color w:val="auto"/>
        </w:rPr>
        <w:t>The Company serves the southern U.S. retail heavy-duty truck market, which is affected by a number of factors relating to general economic conditions, including fuel prices, government regulation, interest rate fluctuations, economic recessions and customer business cycles. In addition, unit sales of new trucks have historically been</w:t>
      </w:r>
    </w:p>
    <w:p>
      <w:pPr>
        <w:sectPr>
          <w:pgSz w:w="11900" w:h="16967" w:orient="portrait"/>
          <w:cols w:equalWidth="0" w:num="1">
            <w:col w:w="11460"/>
          </w:cols>
          <w:pgMar w:left="240" w:top="483" w:right="199" w:bottom="0" w:gutter="0" w:footer="0" w:header="0"/>
        </w:sectPr>
      </w:pPr>
    </w:p>
    <w:bookmarkStart w:id="18" w:name="page19"/>
    <w:bookmarkEnd w:id="18"/>
    <w:p>
      <w:pPr>
        <w:ind w:right="80"/>
        <w:spacing w:after="0" w:line="262" w:lineRule="auto"/>
        <w:rPr>
          <w:sz w:val="20"/>
          <w:szCs w:val="20"/>
          <w:color w:val="auto"/>
        </w:rPr>
      </w:pPr>
      <w:r>
        <w:rPr>
          <w:rFonts w:ascii="Arial" w:cs="Arial" w:eastAsia="Arial" w:hAnsi="Arial"/>
          <w:sz w:val="16"/>
          <w:szCs w:val="16"/>
          <w:color w:val="auto"/>
        </w:rPr>
        <w:t>subject to substantial cyclical variation based on such general economic conditions. According to data published by A.C.T. Research, in recent years total U.S. retail sales of new Class 8 trucks have ranged from a low of approximately 140,000 in 2001 and 2008 to a high of approximately 291,000 in 2006. Class 8 trucks are defined by the American Automobile Association as trucks with a minimum gross vehicle weight rating above 33,000 pounds. The Company’s share of the U.S. Class 8 truck sales market decreased approximately 15% to 3.9% in 2008, down from 4.6% in 2007. We attribute the majority of this decrease in market share to the fact that most of our major fleet customers did not purchase any vehicles in 2008. We believe that our share of the U.S. Class 8 truck sales market should return to approximately 4.3% to 4.6% when our large fleet customers resume normal purchasing practices.</w:t>
      </w:r>
    </w:p>
    <w:p>
      <w:pPr>
        <w:spacing w:after="0" w:line="169" w:lineRule="exact"/>
        <w:rPr>
          <w:sz w:val="20"/>
          <w:szCs w:val="20"/>
          <w:color w:val="auto"/>
        </w:rPr>
      </w:pPr>
    </w:p>
    <w:p>
      <w:pPr>
        <w:ind w:firstLine="589"/>
        <w:spacing w:after="0" w:line="259" w:lineRule="auto"/>
        <w:rPr>
          <w:sz w:val="20"/>
          <w:szCs w:val="20"/>
          <w:color w:val="auto"/>
        </w:rPr>
      </w:pPr>
      <w:r>
        <w:rPr>
          <w:rFonts w:ascii="Arial" w:cs="Arial" w:eastAsia="Arial" w:hAnsi="Arial"/>
          <w:sz w:val="16"/>
          <w:szCs w:val="16"/>
          <w:color w:val="auto"/>
        </w:rPr>
        <w:t>Typically, Class 8 trucks are assembled by manufacturers utilizing certain components manufactured by other companies, including engines, transmissions, axles, wheels and other components. As trucks and truck components have become increasingly complex, the ability to provide state-of-the-art service for a wide variety of truck equipment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Class 8 trucks as fleets, particularly private fleets, seek to establish full-service leases or rental contracts, which provide for turnkey service including parts, maintenance and, potentially, fuel, fuel tax reporting and other services. Differentiation between truck dealers has become less dependent on pure price competition and is increasingly based on a dealer’s ability to offer a wide variety of services to their clients. Such services include the following: efficient, conveniently located and easily accessible truck service centers with an adequate supply of replacement parts; financing for truck purchases; leasing and rental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50" w:lineRule="exact"/>
        <w:rPr>
          <w:sz w:val="20"/>
          <w:szCs w:val="20"/>
          <w:color w:val="auto"/>
        </w:rPr>
      </w:pPr>
    </w:p>
    <w:p>
      <w:pPr>
        <w:ind w:right="100" w:firstLine="589"/>
        <w:spacing w:after="0" w:line="282" w:lineRule="auto"/>
        <w:rPr>
          <w:sz w:val="20"/>
          <w:szCs w:val="20"/>
          <w:color w:val="auto"/>
        </w:rPr>
      </w:pPr>
      <w:r>
        <w:rPr>
          <w:rFonts w:ascii="Arial" w:cs="Arial" w:eastAsia="Arial" w:hAnsi="Arial"/>
          <w:sz w:val="15"/>
          <w:szCs w:val="15"/>
          <w:color w:val="auto"/>
        </w:rPr>
        <w:t>A.C.T. Research currently estimates approximately 124,600 new Class 8 trucks will be sold in the United States in 2009, compared to approximately 140,000 new trucks sold in 2008. However, the Company believes that 2009 sales of Class 8 trucks could be as low as 110,000 to 120,000. A.C.T. Research currently forecasts sales of Class 8 trucks in the U.S. to be approximately 170,000 in 2010. The Company expects the first quarter of 2009 to be the weakest quarter since the truck market downturn began in 2007. Based on current economic and market conditions, the Company does not expect a significant pre-buy of Class 8 trucks to occur in 2009 as a result of diesel emissions regulations that go into effect in 2010. However, the Company believes that demand for new Class 8 trucks will gradually increase throughout 2009 due to the age of vehicles in operation and impending 2010 diesel emissions regulations if general economic conditions begin to improve.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Medium-Duty Truck Market</w:t>
      </w:r>
    </w:p>
    <w:p>
      <w:pPr>
        <w:spacing w:after="0" w:line="209" w:lineRule="exact"/>
        <w:rPr>
          <w:sz w:val="20"/>
          <w:szCs w:val="20"/>
          <w:color w:val="auto"/>
        </w:rPr>
      </w:pPr>
    </w:p>
    <w:p>
      <w:pPr>
        <w:ind w:right="300" w:firstLine="589"/>
        <w:spacing w:after="0" w:line="271" w:lineRule="auto"/>
        <w:rPr>
          <w:sz w:val="20"/>
          <w:szCs w:val="20"/>
          <w:color w:val="auto"/>
        </w:rPr>
      </w:pPr>
      <w:r>
        <w:rPr>
          <w:rFonts w:ascii="Arial" w:cs="Arial" w:eastAsia="Arial" w:hAnsi="Arial"/>
          <w:sz w:val="16"/>
          <w:szCs w:val="16"/>
          <w:color w:val="auto"/>
        </w:rPr>
        <w:t>Many of our Rush Truck Centers sell medium-duty trucks manufactured by Peterbilt, International, GMC, Hino, UD, Ford or Isuzu, and all of our Rush Truck Centers provide parts and service for medium-duty trucks. Medium-duty trucks are principally used in short-haul, local markets as delivery vehicles. Medium-duty trucks typically operate locally and generally do not venture out of their service areas overnight.</w:t>
      </w:r>
    </w:p>
    <w:p>
      <w:pPr>
        <w:spacing w:after="0" w:line="162" w:lineRule="exact"/>
        <w:rPr>
          <w:sz w:val="20"/>
          <w:szCs w:val="20"/>
          <w:color w:val="auto"/>
        </w:rPr>
      </w:pPr>
    </w:p>
    <w:p>
      <w:pPr>
        <w:ind w:right="40" w:firstLine="589"/>
        <w:spacing w:after="0" w:line="266" w:lineRule="auto"/>
        <w:rPr>
          <w:sz w:val="20"/>
          <w:szCs w:val="20"/>
          <w:color w:val="auto"/>
        </w:rPr>
      </w:pPr>
      <w:r>
        <w:rPr>
          <w:rFonts w:ascii="Arial" w:cs="Arial" w:eastAsia="Arial" w:hAnsi="Arial"/>
          <w:sz w:val="16"/>
          <w:szCs w:val="16"/>
          <w:color w:val="auto"/>
        </w:rPr>
        <w:t>A.C.T. Research currently forecasts sales of Class 4 through 7 trucks in the U.S. to be approximately 167,500 in 2009 compared to 176,000 in 2008. The Company believes that U.S. retail sales of medium-duty trucks could be off as much as 15% compared to 2008, resulting in sales of only approximately 150,000 medium-duty trucks in 2009. A.C.T. Research currently forecasts sales of Class 4 through 7 trucks in the U.S. to be approximately 176,500 in 2010. See Note 17 to the Company’s Consolidated Financial Statements for a discussion of the Company’s medium-duty acquisitions in 2008.</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Construction Equipment Market</w:t>
      </w:r>
    </w:p>
    <w:p>
      <w:pPr>
        <w:spacing w:after="0" w:line="209" w:lineRule="exact"/>
        <w:rPr>
          <w:sz w:val="20"/>
          <w:szCs w:val="20"/>
          <w:color w:val="auto"/>
        </w:rPr>
      </w:pPr>
    </w:p>
    <w:p>
      <w:pPr>
        <w:ind w:right="60" w:firstLine="589"/>
        <w:spacing w:after="0" w:line="280" w:lineRule="auto"/>
        <w:rPr>
          <w:sz w:val="20"/>
          <w:szCs w:val="20"/>
          <w:color w:val="auto"/>
        </w:rPr>
      </w:pPr>
      <w:r>
        <w:rPr>
          <w:rFonts w:ascii="Arial" w:cs="Arial" w:eastAsia="Arial" w:hAnsi="Arial"/>
          <w:sz w:val="15"/>
          <w:szCs w:val="15"/>
          <w:color w:val="auto"/>
        </w:rPr>
        <w:t>Our Rush Equipment Centers are authorized John Deere construction equipment dealers serving Southeast Texas. According to data compiled by John Deere, approximately 2,404 units of construction equipment were put into use in our area of responsibility in 2008 compared to 2,949 in 2007. In 2008, we expect new construction equipment unit sales to decrease approximately 25% to 30% in our area of responsibility to approximately 1,800 units. John Deere’s market share in the Houston area construction equipment market, which includes shipments of John Deere equipment to customers that did not purchase such equipment from a Rush Equipment Center, decreased to 18.2% in the in 2008 from 22.2% in 2007. The Company’s market share in the Houston area construction equipment market decreased to 16.9% in 2008 from 18.4% in 2007. This decrease in market share was largely attributable to other manufacturer’s dealers purchasing large quantities of equipment to add to their rental fleets. Our Rush Equipment Centers have the right to sell new John Deere construction equipment and parts within its assigned area of responsibility, which means competition within its market comes primarily from dealers of competing manufacturers and rental companies.</w:t>
      </w:r>
    </w:p>
    <w:p>
      <w:pPr>
        <w:spacing w:after="0" w:line="156" w:lineRule="exact"/>
        <w:rPr>
          <w:sz w:val="20"/>
          <w:szCs w:val="20"/>
          <w:color w:val="auto"/>
        </w:rPr>
      </w:pPr>
    </w:p>
    <w:p>
      <w:pPr>
        <w:ind w:right="100" w:firstLine="589"/>
        <w:spacing w:after="0" w:line="266" w:lineRule="auto"/>
        <w:rPr>
          <w:sz w:val="20"/>
          <w:szCs w:val="20"/>
          <w:color w:val="auto"/>
        </w:rPr>
      </w:pPr>
      <w:r>
        <w:rPr>
          <w:rFonts w:ascii="Arial" w:cs="Arial" w:eastAsia="Arial" w:hAnsi="Arial"/>
          <w:sz w:val="16"/>
          <w:szCs w:val="16"/>
          <w:color w:val="auto"/>
        </w:rPr>
        <w:t>John Deere equipment users are a diverse group that includes residential and commercial construction businesses, independent rental companies, utility companies, government agencies, and various petrochemical, industrial and material supply businesses. Industry statistics suggest that a majority of all construction equipment is owned by a relatively small percentage of the customer base. Accordingly, John Deere and its dealer group, including Rush Equipment Center, are aggressively developing more sophisticated ways to serve large equipment fleet owners.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Market factors affecting the construction equipment industry include the following:</w:t>
      </w:r>
    </w:p>
    <w:p>
      <w:pPr>
        <w:spacing w:after="0" w:line="209" w:lineRule="exact"/>
        <w:rPr>
          <w:sz w:val="20"/>
          <w:szCs w:val="20"/>
          <w:color w:val="auto"/>
        </w:rPr>
      </w:pPr>
    </w:p>
    <w:p>
      <w:pPr>
        <w:ind w:left="840" w:hanging="253"/>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levels of commercial, residential, and public construction activities; and</w:t>
      </w:r>
    </w:p>
    <w:p>
      <w:pPr>
        <w:spacing w:after="0" w:line="208" w:lineRule="exact"/>
        <w:rPr>
          <w:rFonts w:ascii="Arial" w:cs="Arial" w:eastAsia="Arial" w:hAnsi="Arial"/>
          <w:sz w:val="16"/>
          <w:szCs w:val="16"/>
          <w:color w:val="auto"/>
        </w:rPr>
      </w:pPr>
    </w:p>
    <w:p>
      <w:pPr>
        <w:ind w:left="840" w:hanging="253"/>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state and federal highway and road construction appropriations.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2008 Compared to Year Ended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09" w:lineRule="exact"/>
        <w:rPr>
          <w:sz w:val="20"/>
          <w:szCs w:val="20"/>
          <w:color w:val="auto"/>
        </w:rPr>
      </w:pPr>
    </w:p>
    <w:p>
      <w:pPr>
        <w:ind w:right="200" w:firstLine="589"/>
        <w:spacing w:after="0" w:line="271" w:lineRule="auto"/>
        <w:rPr>
          <w:sz w:val="20"/>
          <w:szCs w:val="20"/>
          <w:color w:val="auto"/>
        </w:rPr>
      </w:pPr>
      <w:r>
        <w:rPr>
          <w:rFonts w:ascii="Arial" w:cs="Arial" w:eastAsia="Arial" w:hAnsi="Arial"/>
          <w:sz w:val="16"/>
          <w:szCs w:val="16"/>
          <w:color w:val="auto"/>
        </w:rPr>
        <w:t>Revenues decreased $375.8 million, or 18.5%, in 2008 compared to 2007. Sales of new and used trucks decreased $352.1 million, or 25.3%, in 2008 compared to 2007. Uncertain economic conditions, the weak freight environment, slowing construction markets, historically high fuel prices and tight credit markets contributed to decreased demand for Class 8, medium-duty and used trucks in 2008.</w:t>
      </w:r>
    </w:p>
    <w:p>
      <w:pPr>
        <w:spacing w:after="0" w:line="162" w:lineRule="exact"/>
        <w:rPr>
          <w:sz w:val="20"/>
          <w:szCs w:val="20"/>
          <w:color w:val="auto"/>
        </w:rPr>
      </w:pPr>
    </w:p>
    <w:p>
      <w:pPr>
        <w:ind w:right="40" w:firstLine="589"/>
        <w:spacing w:after="0" w:line="327" w:lineRule="auto"/>
        <w:rPr>
          <w:sz w:val="20"/>
          <w:szCs w:val="20"/>
          <w:color w:val="auto"/>
        </w:rPr>
      </w:pPr>
      <w:r>
        <w:rPr>
          <w:rFonts w:ascii="Arial" w:cs="Arial" w:eastAsia="Arial" w:hAnsi="Arial"/>
          <w:sz w:val="14"/>
          <w:szCs w:val="14"/>
          <w:color w:val="auto"/>
        </w:rPr>
        <w:t>The Company sold 5,516 heavy-duty units in 2008, a 23.7% decrease compared to 7,230 heavy-duty trucks in 2007. According to A.C.T. Research, the U.S. Class 8 truck market decreased 11.2% in 2008 compared to 2007. The Company’s share of the U.S. Class 8 truck sales market decreased approximately 15% to 3.9% in 2008, down from 4.6% in 2007. The Company expects its share to range between 3.9% and 4.1% of the U.S. Class 8 truck market in 2009, which would result in the sale of</w:t>
      </w:r>
    </w:p>
    <w:p>
      <w:pPr>
        <w:sectPr>
          <w:pgSz w:w="11900" w:h="16838" w:orient="portrait"/>
          <w:cols w:equalWidth="0" w:num="1">
            <w:col w:w="11400"/>
          </w:cols>
          <w:pgMar w:left="240" w:top="127" w:right="259" w:bottom="0" w:gutter="0" w:footer="0" w:header="0"/>
        </w:sectPr>
      </w:pPr>
    </w:p>
    <w:bookmarkStart w:id="19" w:name="page20"/>
    <w:bookmarkEnd w:id="19"/>
    <w:p>
      <w:pPr>
        <w:ind w:right="40"/>
        <w:spacing w:after="0" w:line="286" w:lineRule="auto"/>
        <w:rPr>
          <w:sz w:val="20"/>
          <w:szCs w:val="20"/>
          <w:color w:val="auto"/>
        </w:rPr>
      </w:pPr>
      <w:r>
        <w:rPr>
          <w:rFonts w:ascii="Arial" w:cs="Arial" w:eastAsia="Arial" w:hAnsi="Arial"/>
          <w:sz w:val="16"/>
          <w:szCs w:val="16"/>
          <w:color w:val="auto"/>
        </w:rPr>
        <w:t>approximately 4,400 to 4,800 Class 8 trucks based on our current retail sales estimates of 110,000 to 120,000 units. These estimates are based on our assumption that most of our large fleet customers will not resume normal purchasing practices until 2010.</w:t>
      </w:r>
    </w:p>
    <w:p>
      <w:pPr>
        <w:spacing w:after="0" w:line="150" w:lineRule="exact"/>
        <w:rPr>
          <w:sz w:val="20"/>
          <w:szCs w:val="20"/>
          <w:color w:val="auto"/>
        </w:rPr>
      </w:pPr>
    </w:p>
    <w:p>
      <w:pPr>
        <w:ind w:right="60" w:firstLine="589"/>
        <w:spacing w:after="0" w:line="285" w:lineRule="auto"/>
        <w:rPr>
          <w:sz w:val="20"/>
          <w:szCs w:val="20"/>
          <w:color w:val="auto"/>
        </w:rPr>
      </w:pPr>
      <w:r>
        <w:rPr>
          <w:rFonts w:ascii="Arial" w:cs="Arial" w:eastAsia="Arial" w:hAnsi="Arial"/>
          <w:sz w:val="15"/>
          <w:szCs w:val="15"/>
          <w:color w:val="auto"/>
        </w:rPr>
        <w:t>The Company sold 3,773 medium-duty trucks in 2008, a 31.2% decrease compared to 5,482 medium-duty trucks in 2007. Overall, new medium-duty truck sales revenue decreased approximately $67.3 million, or 23.3%, in 2008 compared to 2007. A.C.T. Research estimates that unit sales of Class 4 through 7 trucks in the U.S. decreased approximately 27% in 2008 compared to the 2007. In 2008, the Company achieved a 2.1% share of the Class 4 through 7 truck sales market in the U.S down from 2.2% in 2007. The Company expects its share to range between 1.9% to 2.0% of the U.S. Class 4 through 7 truck sales market in 2009, which would result in the sale of approximately 3,200 to 3,500 Class 4 through 7 trucks based on A.C.T. Research’s current 2009 U.S. retail sales estimates of approximately 167,500 units.</w:t>
      </w:r>
    </w:p>
    <w:p>
      <w:pPr>
        <w:spacing w:after="0" w:line="153" w:lineRule="exact"/>
        <w:rPr>
          <w:sz w:val="20"/>
          <w:szCs w:val="20"/>
          <w:color w:val="auto"/>
        </w:rPr>
      </w:pPr>
    </w:p>
    <w:p>
      <w:pPr>
        <w:ind w:right="200" w:firstLine="589"/>
        <w:spacing w:after="0" w:line="263" w:lineRule="auto"/>
        <w:rPr>
          <w:sz w:val="20"/>
          <w:szCs w:val="20"/>
          <w:color w:val="auto"/>
        </w:rPr>
      </w:pPr>
      <w:r>
        <w:rPr>
          <w:rFonts w:ascii="Arial" w:cs="Arial" w:eastAsia="Arial" w:hAnsi="Arial"/>
          <w:sz w:val="16"/>
          <w:szCs w:val="16"/>
          <w:color w:val="auto"/>
        </w:rPr>
        <w:t>The Company sold 3,234 used trucks in 2008, a 21.1% decrease compared to 4,101 used trucks in 2007. Used truck average revenue per unit decreased by approximately 10.2% in 2008. For 2009, used truck sales volumes and prices will be primarily driven by general economic conditions, fuel prices and the availability of credit, which collectively have had a severe impact on this market during 2008. The Company does not believe that demand for used trucks will increase until general economic conditions begin to improve and credit is made available to a wider range of buyers on reasonable terms. The Company is hopeful this will happen in the second half of 2009. Accordingly, the Company expects to sell approximately 2,800 to 3,200 used trucks in 2009.</w:t>
      </w:r>
    </w:p>
    <w:p>
      <w:pPr>
        <w:spacing w:after="0" w:line="169" w:lineRule="exact"/>
        <w:rPr>
          <w:sz w:val="20"/>
          <w:szCs w:val="20"/>
          <w:color w:val="auto"/>
        </w:rPr>
      </w:pPr>
    </w:p>
    <w:p>
      <w:pPr>
        <w:ind w:right="320" w:firstLine="589"/>
        <w:spacing w:after="0" w:line="362" w:lineRule="auto"/>
        <w:rPr>
          <w:sz w:val="20"/>
          <w:szCs w:val="20"/>
          <w:color w:val="auto"/>
        </w:rPr>
      </w:pPr>
      <w:r>
        <w:rPr>
          <w:rFonts w:ascii="Arial" w:cs="Arial" w:eastAsia="Arial" w:hAnsi="Arial"/>
          <w:sz w:val="14"/>
          <w:szCs w:val="14"/>
          <w:color w:val="auto"/>
        </w:rPr>
        <w:t>Parts and service sales decreased $2.2 million, or 0.5%, in 2008 compared to 2007. Same store parts and service sales decreased $19.9 million, or 4.1%, in 2008 compared to 2007 primarily due to weakening economic conditions. The Company expects parts and service sales to decrease slightly during 2009 relative to 2008.</w:t>
      </w:r>
    </w:p>
    <w:p>
      <w:pPr>
        <w:spacing w:after="0" w:line="103"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Sales of new and used construction equipment decreased $12.8 million, or 17.1%, in 2008 compared to 2007. This decrease was largely attributable to the weakening construction market in the Houston area. John Deere’s rolling twelve month average market share in the Houston area construction equipment market decreased to 18.2% as of December 31, 2008 from a rolling twelve month average of 22.2% as of December 31, 2007. This decrease in market share was largely attributable to other manufacturer’s dealers purchasing large quantities of equipment to add to their rental fleets. In 2009, the Company expects new construction equipment unit sales in our area of responsibility to decrease approximately 25% to 30%, compared to 2008.</w:t>
      </w:r>
    </w:p>
    <w:p>
      <w:pPr>
        <w:spacing w:after="0" w:line="169" w:lineRule="exact"/>
        <w:rPr>
          <w:sz w:val="20"/>
          <w:szCs w:val="20"/>
          <w:color w:val="auto"/>
        </w:rPr>
      </w:pPr>
    </w:p>
    <w:p>
      <w:pPr>
        <w:ind w:right="200" w:firstLine="589"/>
        <w:spacing w:after="0" w:line="266" w:lineRule="auto"/>
        <w:rPr>
          <w:sz w:val="20"/>
          <w:szCs w:val="20"/>
          <w:color w:val="auto"/>
        </w:rPr>
      </w:pPr>
      <w:r>
        <w:rPr>
          <w:rFonts w:ascii="Arial" w:cs="Arial" w:eastAsia="Arial" w:hAnsi="Arial"/>
          <w:sz w:val="16"/>
          <w:szCs w:val="16"/>
          <w:color w:val="auto"/>
        </w:rPr>
        <w:t>Truck lease and rental revenues increased $2.7 million, or 5.2%, in 2008 compared to 2007. This increase in lease and rental revenue is consistent with management’s expectations, considering the increased number of units put into service in the rental fleet during 2008, which was primarily due to the acquisition of an Idealease location in North Carolina. The lease and rental fleet increased approximately 6.9% to 2,570 units at December 31, 2008 from 2,404 units at December 31, 2007. The Company expects lease and rental revenue to increase approximately 2% to 5% in 2009 compared to 2008.</w:t>
      </w:r>
    </w:p>
    <w:p>
      <w:pPr>
        <w:spacing w:after="0" w:line="166" w:lineRule="exact"/>
        <w:rPr>
          <w:sz w:val="20"/>
          <w:szCs w:val="20"/>
          <w:color w:val="auto"/>
        </w:rPr>
      </w:pPr>
    </w:p>
    <w:p>
      <w:pPr>
        <w:ind w:right="80" w:firstLine="589"/>
        <w:spacing w:after="0" w:line="297" w:lineRule="auto"/>
        <w:rPr>
          <w:sz w:val="20"/>
          <w:szCs w:val="20"/>
          <w:color w:val="auto"/>
        </w:rPr>
      </w:pPr>
      <w:r>
        <w:rPr>
          <w:rFonts w:ascii="Arial" w:cs="Arial" w:eastAsia="Arial" w:hAnsi="Arial"/>
          <w:sz w:val="15"/>
          <w:szCs w:val="15"/>
          <w:color w:val="auto"/>
        </w:rPr>
        <w:t>Finance and insurance revenues decreased $9.4 million, or 43.3%, in 2008 compared to 2007. The decrease in finance and insurance revenue is a direct result of the decline in truck sales and the tight credit market. The Company expects finance and insurance revenue to fluctuate proportionately with the new Class 8 truck market in 2009. Finance and insurance revenues have limited direct costs and, therefore, contribute a disproportionate share of the Company’s operating profits.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60" w:firstLine="589"/>
        <w:spacing w:after="0" w:line="362" w:lineRule="auto"/>
        <w:rPr>
          <w:sz w:val="20"/>
          <w:szCs w:val="20"/>
          <w:color w:val="auto"/>
        </w:rPr>
      </w:pPr>
      <w:r>
        <w:rPr>
          <w:rFonts w:ascii="Arial" w:cs="Arial" w:eastAsia="Arial" w:hAnsi="Arial"/>
          <w:sz w:val="14"/>
          <w:szCs w:val="14"/>
          <w:color w:val="auto"/>
        </w:rPr>
        <w:t>Other income decreased $2.1 million, or 25.8% in 2008 compared to 2007. Other income consists primarily of the gain on sale realized on trucks from the lease and rental fleet, commissions earned from John Deere for direct manufacturer sales into our area of responsibility, document fees related to truck sales and purchase discounts.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pacing w:after="0" w:line="209" w:lineRule="exact"/>
        <w:rPr>
          <w:sz w:val="20"/>
          <w:szCs w:val="20"/>
          <w:color w:val="auto"/>
        </w:rPr>
      </w:pPr>
    </w:p>
    <w:p>
      <w:pPr>
        <w:ind w:firstLine="589"/>
        <w:spacing w:after="0" w:line="297" w:lineRule="auto"/>
        <w:rPr>
          <w:sz w:val="20"/>
          <w:szCs w:val="20"/>
          <w:color w:val="auto"/>
        </w:rPr>
      </w:pPr>
      <w:r>
        <w:rPr>
          <w:rFonts w:ascii="Arial" w:cs="Arial" w:eastAsia="Arial" w:hAnsi="Arial"/>
          <w:sz w:val="15"/>
          <w:szCs w:val="15"/>
          <w:color w:val="auto"/>
        </w:rPr>
        <w:t>Gross profit decreased $55.4 million, or 15.7%, in 2008 compared to 2007. Gross profit as a percentage of sales increased to 18.0% in 2008 from 17.3% in 2007. This increase is primarily a result of a change in our product sales mix. Truck sales, a lower margin revenue item, decreased as a percentage of total revenue to 62.9% in 2008 from 68.6% in 2007. Parts and service revenue, a higher margin revenue item, increased as a percentage of total revenue to 28.9% in 2008 from 23.7% in 2007.</w:t>
      </w:r>
    </w:p>
    <w:p>
      <w:pPr>
        <w:spacing w:after="0" w:line="145" w:lineRule="exact"/>
        <w:rPr>
          <w:sz w:val="20"/>
          <w:szCs w:val="20"/>
          <w:color w:val="auto"/>
        </w:rPr>
      </w:pPr>
    </w:p>
    <w:p>
      <w:pPr>
        <w:ind w:right="100" w:firstLine="589"/>
        <w:spacing w:after="0" w:line="285" w:lineRule="auto"/>
        <w:rPr>
          <w:sz w:val="20"/>
          <w:szCs w:val="20"/>
          <w:color w:val="auto"/>
        </w:rPr>
      </w:pPr>
      <w:r>
        <w:rPr>
          <w:rFonts w:ascii="Arial" w:cs="Arial" w:eastAsia="Arial" w:hAnsi="Arial"/>
          <w:sz w:val="15"/>
          <w:szCs w:val="15"/>
          <w:color w:val="auto"/>
        </w:rPr>
        <w:t>Gross margins on Class 8 truck sales decreased to 7.7% in 2008 from 8.6% in 2007. A large portion of the decrease in gross margins on Class 8 trucks was due to write-downs on the value of new truck inventory throughout 2008. Gross margins on Class 8 truck sales were also negatively impacted by decreased demand for new trucks as a result of uncertain economic conditions, the weak freight environment, historically high fuel prices throughout most of 2008, and tightening credit markets. In 2009, the Company expects overall gross margins from Class 8 truck sales of approximately 6.0% to 7.0%. The Company continually evaluates its reserve for new truck valuation losses. The Company recorded expense of $5.2 million to increase its new heavy-duty truck valuation allowance in 2008 and $3.3 million in 2007.</w:t>
      </w:r>
    </w:p>
    <w:p>
      <w:pPr>
        <w:spacing w:after="0" w:line="153" w:lineRule="exact"/>
        <w:rPr>
          <w:sz w:val="20"/>
          <w:szCs w:val="20"/>
          <w:color w:val="auto"/>
        </w:rPr>
      </w:pPr>
    </w:p>
    <w:p>
      <w:pPr>
        <w:ind w:right="40" w:firstLine="589"/>
        <w:spacing w:after="0" w:line="263" w:lineRule="auto"/>
        <w:rPr>
          <w:sz w:val="20"/>
          <w:szCs w:val="20"/>
          <w:color w:val="auto"/>
        </w:rPr>
      </w:pPr>
      <w:r>
        <w:rPr>
          <w:rFonts w:ascii="Arial" w:cs="Arial" w:eastAsia="Arial" w:hAnsi="Arial"/>
          <w:sz w:val="16"/>
          <w:szCs w:val="16"/>
          <w:color w:val="auto"/>
        </w:rPr>
        <w:t>Gross margins on medium-duty truck sales decreased to 5.1% in 2008 from 5.5% in 2007. Medium-duty gross margins were negatively impacted by the same factors that adversely impacted gross margins on Class 8 truck sales in 2008. Gross margins on medium-duty trucks are difficult to forecast accurately because gross margins vary significantly depending upon the mix of fleet and non-fleet purchasers and types of medium-duty trucks sold. For 2009, the Company expects overall gross margins from medium-duty truck sales of approximately 5.0% to 5.5%. The Company recorded expense of $1.7 million to increase its new medium-duty truck valuation allowance in 2008 and $2.8 million in 2007.</w:t>
      </w:r>
    </w:p>
    <w:p>
      <w:pPr>
        <w:spacing w:after="0" w:line="169" w:lineRule="exact"/>
        <w:rPr>
          <w:sz w:val="20"/>
          <w:szCs w:val="20"/>
          <w:color w:val="auto"/>
        </w:rPr>
      </w:pPr>
    </w:p>
    <w:p>
      <w:pPr>
        <w:ind w:firstLine="589"/>
        <w:spacing w:after="0" w:line="285" w:lineRule="auto"/>
        <w:rPr>
          <w:sz w:val="20"/>
          <w:szCs w:val="20"/>
          <w:color w:val="auto"/>
        </w:rPr>
      </w:pPr>
      <w:r>
        <w:rPr>
          <w:rFonts w:ascii="Arial" w:cs="Arial" w:eastAsia="Arial" w:hAnsi="Arial"/>
          <w:sz w:val="15"/>
          <w:szCs w:val="15"/>
          <w:color w:val="auto"/>
        </w:rPr>
        <w:t>Gross margins on used truck sales decreased to 3.6% in 2008 from 8.6% in 2007. Write-downs of used truck inventory values throughout 2008 caused gross margins on used truck sales to decrease in 2008 compared to 2007. The write-downs were necessary because of decreased demand for used trucks as a result of worsening general economic conditions, decreased freight demand, and the tight credit market. The Company is hopeful that margins on used trucks will be in the range of approximately 6.5% to 8.5% during 2009, but this will largely depend upon general economic conditions and the availability of credit. The Company continually evaluates its reserve for used truck valuation losses. The Company recorded expense of $8.5 million to increase its used truck valuation allowance in 2008 and $2.9 million in 2007.</w:t>
      </w:r>
    </w:p>
    <w:p>
      <w:pPr>
        <w:spacing w:after="0" w:line="153" w:lineRule="exact"/>
        <w:rPr>
          <w:sz w:val="20"/>
          <w:szCs w:val="20"/>
          <w:color w:val="auto"/>
        </w:rPr>
      </w:pPr>
    </w:p>
    <w:p>
      <w:pPr>
        <w:ind w:right="140" w:firstLine="589"/>
        <w:spacing w:after="0" w:line="271" w:lineRule="auto"/>
        <w:rPr>
          <w:sz w:val="20"/>
          <w:szCs w:val="20"/>
          <w:color w:val="auto"/>
        </w:rPr>
      </w:pPr>
      <w:r>
        <w:rPr>
          <w:rFonts w:ascii="Arial" w:cs="Arial" w:eastAsia="Arial" w:hAnsi="Arial"/>
          <w:sz w:val="16"/>
          <w:szCs w:val="16"/>
          <w:color w:val="auto"/>
        </w:rPr>
        <w:t>Gross margins from the Company’s parts, service and body shop operations increased to 41.1% in 2008 from 40.9% in 2007. Gross profit for the parts, service and body shop departments decreased slightly to $196.5 million in 2008 from $196.7 million in 2007. The Company expects gross margins on parts, service and body shop operations of approximately 39.0% to 41.0% during 2009.</w:t>
      </w:r>
    </w:p>
    <w:p>
      <w:pPr>
        <w:spacing w:after="0" w:line="162"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Gross margins on new and used construction equipment sales decreased to 9.8% in 2008 from 11.0% in 2007. This decrease in gross margin is primarily attributable to decreased demand for construction equipment in the Houston market and our continued efforts to increase John Deere’s market share. The Company expects 2009 gross margins to remain in a range of approximately 9.0% to 11.0% as the Company continues efforts to increase its market share.</w:t>
      </w:r>
    </w:p>
    <w:p>
      <w:pPr>
        <w:spacing w:after="0" w:line="162" w:lineRule="exact"/>
        <w:rPr>
          <w:sz w:val="20"/>
          <w:szCs w:val="20"/>
          <w:color w:val="auto"/>
        </w:rPr>
      </w:pPr>
    </w:p>
    <w:p>
      <w:pPr>
        <w:ind w:firstLine="589"/>
        <w:spacing w:after="0" w:line="285" w:lineRule="auto"/>
        <w:rPr>
          <w:sz w:val="20"/>
          <w:szCs w:val="20"/>
          <w:color w:val="auto"/>
        </w:rPr>
      </w:pPr>
      <w:r>
        <w:rPr>
          <w:rFonts w:ascii="Arial" w:cs="Arial" w:eastAsia="Arial" w:hAnsi="Arial"/>
          <w:sz w:val="15"/>
          <w:szCs w:val="15"/>
          <w:color w:val="auto"/>
        </w:rPr>
        <w:t>Gross margins from truck lease and rental sales decreased to 14.5% in 2008 from approximately 15.4% in 2007. The decrease in the gross margin from lease and rental sales is primarily due to the decreased utilization of crane-mounted trucks in our rental fleet. The Company expects gross margins from lease and rental sales of approximately 15.0% to 18.0% during 2008.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Finance and insurance revenues and other income, as described above, have limited direct costs and, therefore, contribute a disproportionate share of gross profit.</w:t>
      </w:r>
    </w:p>
    <w:p>
      <w:pPr>
        <w:sectPr>
          <w:pgSz w:w="11900" w:h="16838" w:orient="portrait"/>
          <w:cols w:equalWidth="0" w:num="1">
            <w:col w:w="11420"/>
          </w:cols>
          <w:pgMar w:left="240" w:top="127" w:right="239" w:bottom="28"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28"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09" w:lineRule="exact"/>
        <w:rPr>
          <w:sz w:val="20"/>
          <w:szCs w:val="20"/>
          <w:color w:val="auto"/>
        </w:rPr>
      </w:pPr>
    </w:p>
    <w:p>
      <w:pPr>
        <w:ind w:firstLine="589"/>
        <w:spacing w:after="0" w:line="261" w:lineRule="auto"/>
        <w:rPr>
          <w:sz w:val="20"/>
          <w:szCs w:val="20"/>
          <w:color w:val="auto"/>
        </w:rPr>
      </w:pPr>
      <w:r>
        <w:rPr>
          <w:rFonts w:ascii="Arial" w:cs="Arial" w:eastAsia="Arial" w:hAnsi="Arial"/>
          <w:sz w:val="16"/>
          <w:szCs w:val="16"/>
          <w:color w:val="auto"/>
        </w:rPr>
        <w:t>Selling, General and Administrative (“SG&amp;A”) expenses decreased $12.6 million, or 5.2%, in 2008 compared to 2007. SG&amp;A expenses as a percentage of sales increased to 13.8% in 2008 from 11.9% in 2007. SG&amp;A expenses as a percentage of sales have historically ranged from 10.0% to 15.0%. In 2008, the selling portion of SG&amp;A expenses, which consists primarily of commissions on truck and construction equipment sales, decreased 28.7% and the general and administrative portion of SG&amp;A decreased 2.3% compared to 2007. In 2009, the Company expects the selling portion of SG&amp;A expenses to be approximately 25% to 28% of new and used truck gross profit. The selling portion of SG&amp;A varies based on the gross profit derived from truck sales. The Company took action throughout 2008 to reduce overhead expenses to a level more appropriate to serve the current market. For 2009, the Company will continue to adjust the general and administrative portion of SG&amp;A in accordance with market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09" w:lineRule="exact"/>
        <w:rPr>
          <w:sz w:val="20"/>
          <w:szCs w:val="20"/>
          <w:color w:val="auto"/>
        </w:rPr>
      </w:pPr>
    </w:p>
    <w:p>
      <w:pPr>
        <w:jc w:val="both"/>
        <w:ind w:right="60" w:firstLine="589"/>
        <w:spacing w:after="0" w:line="271" w:lineRule="auto"/>
        <w:rPr>
          <w:sz w:val="20"/>
          <w:szCs w:val="20"/>
          <w:color w:val="auto"/>
        </w:rPr>
      </w:pPr>
      <w:r>
        <w:rPr>
          <w:rFonts w:ascii="Arial" w:cs="Arial" w:eastAsia="Arial" w:hAnsi="Arial"/>
          <w:sz w:val="16"/>
          <w:szCs w:val="16"/>
          <w:color w:val="auto"/>
        </w:rPr>
        <w:t>Net interest expense decreased $7.1 million, or 47.5%, in 2008 compared to 2007. In 2008, floor plan interest expense decreased compared to 2007 primarily due to the decrease in floor plan notes payable throughout most of 2008 and lower floor plan interest rates. If floor plan interest rates remain at current levels, the Company expects net interest expense in 2009 to decrease approximately 10.0% compared to 2008.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Taxes</w:t>
      </w:r>
    </w:p>
    <w:p>
      <w:pPr>
        <w:spacing w:after="0" w:line="209" w:lineRule="exact"/>
        <w:rPr>
          <w:sz w:val="20"/>
          <w:szCs w:val="20"/>
          <w:color w:val="auto"/>
        </w:rPr>
      </w:pPr>
    </w:p>
    <w:p>
      <w:pPr>
        <w:ind w:right="240" w:firstLine="589"/>
        <w:spacing w:after="0" w:line="286" w:lineRule="auto"/>
        <w:rPr>
          <w:sz w:val="20"/>
          <w:szCs w:val="20"/>
          <w:color w:val="auto"/>
        </w:rPr>
      </w:pPr>
      <w:r>
        <w:rPr>
          <w:rFonts w:ascii="Arial" w:cs="Arial" w:eastAsia="Arial" w:hAnsi="Arial"/>
          <w:sz w:val="16"/>
          <w:szCs w:val="16"/>
          <w:color w:val="auto"/>
        </w:rPr>
        <w:t>Income before income taxes decreased $36.7 million, or 44.9%, in 2008 compared to 2007, as a result of the factors described above. The Company believes that income before income taxes in 2009 will decrease compared to 2008 based on the factors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9" w:lineRule="exact"/>
        <w:rPr>
          <w:sz w:val="20"/>
          <w:szCs w:val="20"/>
          <w:color w:val="auto"/>
        </w:rPr>
      </w:pPr>
    </w:p>
    <w:p>
      <w:pPr>
        <w:ind w:right="60" w:firstLine="589"/>
        <w:spacing w:after="0" w:line="262" w:lineRule="auto"/>
        <w:rPr>
          <w:sz w:val="20"/>
          <w:szCs w:val="20"/>
          <w:color w:val="auto"/>
        </w:rPr>
      </w:pPr>
      <w:r>
        <w:rPr>
          <w:rFonts w:ascii="Arial" w:cs="Arial" w:eastAsia="Arial" w:hAnsi="Arial"/>
          <w:sz w:val="16"/>
          <w:szCs w:val="16"/>
          <w:color w:val="auto"/>
        </w:rPr>
        <w:t>Income taxes decreased $14.1 million, or 46.5%, in 2008 compared to 2007. The Company provided for taxes at a 36.0% effective rate in 2008 and expects the effective tax rate to be approximately 37.0% in 2009. The decrease in the Company’s effective tax rate results from the application of tax credits for sales of alternative fuel vehicles to tax-exempt municipalities that claim the tax credits. During 2009, the Company expects to continue to apply for alternative fuel vehicle tax credits for sales of alternative fuel vehicles to tax-exempt municipalities. These transactions will increase the Company’s SG&amp;A expense because the Company passes a portion of these credits on to these tax-exempt municipalities in the form of a discretionary rebate. As a result, the Company’s effective tax rate may vary significantly depending on the number of alternative fuel vehicles sold to tax-exempt entities.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2007 Compared to Year Ended December 31, 2006</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09"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Revenues decreased $319.7 million, or 13.6%, in 2007 compared to 2006. Sales of new and used trucks decreased $387.2 million, or 21.7%, in 2007 compared to 2006. This decrease in new and used truck revenue was primarily due to decreased sales of new Class 8 trucks due to the diesel engine emissions guidelines that caused a pre-buy of Class 8 trucks in 2006 and resulted in decreased demand for new Class 8 trucks with engines built subsequent to January 1, 2007. Uncertain economic conditions in the U.S. and decreased freight demand also contributed to decreased demand for Class 8 trucks in 2007. The decrease was offset by increased sales of medium-duty trucks in 2007 primarily due to acquisitions, and increased demand for used trucks.</w:t>
      </w:r>
    </w:p>
    <w:p>
      <w:pPr>
        <w:spacing w:after="0" w:line="169"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Unit sales of new Class 8 trucks decreased 38.7% in 2007 compared to 2006. According to A.C.T. Research, the U.S. Class 8 truck market decreased 46.2% in 2007 compared to 2006. In 2007, the Company’s share of the U.S. Class 8 truck market increased to 4.6% compared to 4.1% in 2006.</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Unit sales of new medium-duty trucks increased 16.8% in 2007 compared to 2006. Acquisitions contributed to this increase in unit sales of medium-duty trucks.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Overall, new medium-duty truck sales revenue increased approximately $36.4 million, or 14.4%, in 2007 compared to 2006.</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Unit sales of used trucks increased 2.4% in 2007 compared to 2006. Used truck average revenue per unit increased by approximately 7.7%.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300" w:firstLine="589"/>
        <w:spacing w:after="0" w:line="286" w:lineRule="auto"/>
        <w:rPr>
          <w:sz w:val="20"/>
          <w:szCs w:val="20"/>
          <w:color w:val="auto"/>
        </w:rPr>
      </w:pPr>
      <w:r>
        <w:rPr>
          <w:rFonts w:ascii="Arial" w:cs="Arial" w:eastAsia="Arial" w:hAnsi="Arial"/>
          <w:sz w:val="16"/>
          <w:szCs w:val="16"/>
          <w:color w:val="auto"/>
        </w:rPr>
        <w:t>Parts and service sales increased $39.2 million, or 8.9%, in 2007 compared to 2006. Same store parts and service sales increased $25.7 million, or 5.8%, in 2007 compared to 2006.</w:t>
      </w:r>
    </w:p>
    <w:p>
      <w:pPr>
        <w:spacing w:after="0" w:line="150" w:lineRule="exact"/>
        <w:rPr>
          <w:sz w:val="20"/>
          <w:szCs w:val="20"/>
          <w:color w:val="auto"/>
        </w:rPr>
      </w:pPr>
    </w:p>
    <w:p>
      <w:pPr>
        <w:ind w:right="120" w:firstLine="589"/>
        <w:spacing w:after="0" w:line="271" w:lineRule="auto"/>
        <w:rPr>
          <w:sz w:val="20"/>
          <w:szCs w:val="20"/>
          <w:color w:val="auto"/>
        </w:rPr>
      </w:pPr>
      <w:r>
        <w:rPr>
          <w:rFonts w:ascii="Arial" w:cs="Arial" w:eastAsia="Arial" w:hAnsi="Arial"/>
          <w:sz w:val="16"/>
          <w:szCs w:val="16"/>
          <w:color w:val="auto"/>
        </w:rPr>
        <w:t>Sales of new and used construction equipment increased $15.4 million, or 25.9%, in 2007 compared to 2006. During 2007, the Company continued its concerted effort to increase its market share in the Houston area. According to data compiled by John Deere, approximately 2,949 units of construction equipment were put into use in our area of responsibility in 2007 compared to 2,585 in 2006.</w:t>
      </w:r>
    </w:p>
    <w:p>
      <w:pPr>
        <w:spacing w:after="0" w:line="162" w:lineRule="exact"/>
        <w:rPr>
          <w:sz w:val="20"/>
          <w:szCs w:val="20"/>
          <w:color w:val="auto"/>
        </w:rPr>
      </w:pPr>
    </w:p>
    <w:p>
      <w:pPr>
        <w:ind w:right="160" w:firstLine="589"/>
        <w:spacing w:after="0" w:line="271" w:lineRule="auto"/>
        <w:rPr>
          <w:sz w:val="20"/>
          <w:szCs w:val="20"/>
          <w:color w:val="auto"/>
        </w:rPr>
      </w:pPr>
      <w:r>
        <w:rPr>
          <w:rFonts w:ascii="Arial" w:cs="Arial" w:eastAsia="Arial" w:hAnsi="Arial"/>
          <w:sz w:val="16"/>
          <w:szCs w:val="16"/>
          <w:color w:val="auto"/>
        </w:rPr>
        <w:t>Truck lease and rental revenues increased $10.3 million, or 24.7%, in 2007 compared to 2006. This increase in lease and rental revenue was consistent with management’s expectations, considering the increased number of units put into service in the rental fleet during the last quarter of 2006. The lease and rental fleet increased approximately 2.5% to 2,404 units at December 31, 2007 from 2,345 units at December 31, 2006.</w:t>
      </w:r>
    </w:p>
    <w:p>
      <w:pPr>
        <w:spacing w:after="0" w:line="162" w:lineRule="exact"/>
        <w:rPr>
          <w:sz w:val="20"/>
          <w:szCs w:val="20"/>
          <w:color w:val="auto"/>
        </w:rPr>
      </w:pPr>
    </w:p>
    <w:p>
      <w:pPr>
        <w:ind w:right="20" w:firstLine="589"/>
        <w:spacing w:after="0" w:line="263" w:lineRule="auto"/>
        <w:rPr>
          <w:sz w:val="20"/>
          <w:szCs w:val="20"/>
          <w:color w:val="auto"/>
        </w:rPr>
      </w:pPr>
      <w:r>
        <w:rPr>
          <w:rFonts w:ascii="Arial" w:cs="Arial" w:eastAsia="Arial" w:hAnsi="Arial"/>
          <w:sz w:val="16"/>
          <w:szCs w:val="16"/>
          <w:color w:val="auto"/>
        </w:rPr>
        <w:t>Finance and insurance revenues increased $2.5 million, or 12.8%, in 2007 compared to 2006. This increase was due to the Company arranging financing on a higher percentage of trucks it sold during 2007 than during 2006 and to a $1.4 million nonrecurring reserve release related to the Company’s early repayment charge back program. The Company expected finance income from new Class 8 truck sales to decrease during 2007 compared to 2006 because of the expected decline in new Class 8 truck sales. However, this decrease was offset by increases in finance revenue from medium-duty truck sales, the nonrecurring reserve release, and insurance revenue resulting from product expansion and acquisitions.</w:t>
      </w:r>
    </w:p>
    <w:p>
      <w:pPr>
        <w:spacing w:after="0" w:line="169" w:lineRule="exact"/>
        <w:rPr>
          <w:sz w:val="20"/>
          <w:szCs w:val="20"/>
          <w:color w:val="auto"/>
        </w:rPr>
      </w:pPr>
    </w:p>
    <w:p>
      <w:pPr>
        <w:ind w:right="220" w:firstLine="589"/>
        <w:spacing w:after="0" w:line="322" w:lineRule="auto"/>
        <w:rPr>
          <w:sz w:val="20"/>
          <w:szCs w:val="20"/>
          <w:color w:val="auto"/>
        </w:rPr>
      </w:pPr>
      <w:r>
        <w:rPr>
          <w:rFonts w:ascii="Arial" w:cs="Arial" w:eastAsia="Arial" w:hAnsi="Arial"/>
          <w:sz w:val="15"/>
          <w:szCs w:val="15"/>
          <w:color w:val="auto"/>
        </w:rPr>
        <w:t>Other income remained flat at $8.2 million in 2007 compared to 2006.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pacing w:after="0" w:line="209" w:lineRule="exact"/>
        <w:rPr>
          <w:sz w:val="20"/>
          <w:szCs w:val="20"/>
          <w:color w:val="auto"/>
        </w:rPr>
      </w:pPr>
    </w:p>
    <w:p>
      <w:pPr>
        <w:ind w:right="40" w:firstLine="589"/>
        <w:spacing w:after="0" w:line="297" w:lineRule="auto"/>
        <w:rPr>
          <w:sz w:val="20"/>
          <w:szCs w:val="20"/>
          <w:color w:val="auto"/>
        </w:rPr>
      </w:pPr>
      <w:r>
        <w:rPr>
          <w:rFonts w:ascii="Arial" w:cs="Arial" w:eastAsia="Arial" w:hAnsi="Arial"/>
          <w:sz w:val="15"/>
          <w:szCs w:val="15"/>
          <w:color w:val="auto"/>
        </w:rPr>
        <w:t>Gross profit decreased $0.6 million, or 0.2%, in 2007 compared to 2006. Gross profit as a percentage of sales increased to 17.3% in 2007 from 15.0% in 2006. This increase was primarily a result of a change in our product sales mix. Truck sales, a lower margin revenue item, decreased as a percentage of total revenue to 68.6% in 2007 from 75.7% in 2006. Parts and service revenue, a higher margin revenue item, increased as a percentage of total revenue to 23.7% in 2007 from 18.8% in 2006.</w:t>
      </w:r>
    </w:p>
    <w:p>
      <w:pPr>
        <w:sectPr>
          <w:pgSz w:w="11900" w:h="16838" w:orient="portrait"/>
          <w:cols w:equalWidth="0" w:num="1">
            <w:col w:w="11420"/>
          </w:cols>
          <w:pgMar w:left="240" w:top="348" w:right="239" w:bottom="0" w:gutter="0" w:footer="0" w:header="0"/>
        </w:sectPr>
      </w:pPr>
    </w:p>
    <w:bookmarkStart w:id="21" w:name="page22"/>
    <w:bookmarkEnd w:id="21"/>
    <w:p>
      <w:pPr>
        <w:ind w:right="20" w:firstLine="589"/>
        <w:spacing w:after="0" w:line="271" w:lineRule="auto"/>
        <w:rPr>
          <w:sz w:val="20"/>
          <w:szCs w:val="20"/>
          <w:color w:val="auto"/>
        </w:rPr>
      </w:pPr>
      <w:r>
        <w:rPr>
          <w:rFonts w:ascii="Arial" w:cs="Arial" w:eastAsia="Arial" w:hAnsi="Arial"/>
          <w:sz w:val="16"/>
          <w:szCs w:val="16"/>
          <w:color w:val="auto"/>
        </w:rPr>
        <w:t>Gross margins on Class 8 truck sales increased to 8.6% in 2007 from 7.2% in 2006. The Company’s 2007 gross margins on Class 8 trucks increased because a larger percentage of sales were to non-fleet customers. The Company recorded expense of $3.3 million to increase its new heavy-duty truck valuation allowance in 2007 and $1.3 million in 2006.</w:t>
      </w:r>
    </w:p>
    <w:p>
      <w:pPr>
        <w:spacing w:after="0" w:line="162" w:lineRule="exact"/>
        <w:rPr>
          <w:sz w:val="20"/>
          <w:szCs w:val="20"/>
          <w:color w:val="auto"/>
        </w:rPr>
      </w:pPr>
    </w:p>
    <w:p>
      <w:pPr>
        <w:ind w:right="480" w:firstLine="589"/>
        <w:spacing w:after="0" w:line="286" w:lineRule="auto"/>
        <w:rPr>
          <w:sz w:val="20"/>
          <w:szCs w:val="20"/>
          <w:color w:val="auto"/>
        </w:rPr>
      </w:pPr>
      <w:r>
        <w:rPr>
          <w:rFonts w:ascii="Arial" w:cs="Arial" w:eastAsia="Arial" w:hAnsi="Arial"/>
          <w:sz w:val="16"/>
          <w:szCs w:val="16"/>
          <w:color w:val="auto"/>
        </w:rPr>
        <w:t>Gross margins on medium-duty truck sales decreased to 5.5% in 2007 from 5.7% in 2006. The Company recorded expense of $2.8 million to increase its new medium-duty truck valuation allowance in 2007 and $1.6 million in 2006.</w:t>
      </w:r>
    </w:p>
    <w:p>
      <w:pPr>
        <w:spacing w:after="0" w:line="15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Gross margins on used truck sales decreased to 8.6% in 2007 from 9.1% in 2006. The Company recorded expense of $2.9 million to increase its used truck valuation allowance in 2007 and $0.4 million in 2006.</w:t>
      </w:r>
    </w:p>
    <w:p>
      <w:pPr>
        <w:spacing w:after="0" w:line="150"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Gross margins from the Company’s parts, service and body shop operations decreased to 40.9% in 2007 from 41.1% in 2006. Gross profit for the parts, service and body shop departments increased to $196.7 million in 2007 from $181.6 million in 2006.</w:t>
      </w:r>
    </w:p>
    <w:p>
      <w:pPr>
        <w:spacing w:after="0" w:line="150" w:lineRule="exact"/>
        <w:rPr>
          <w:sz w:val="20"/>
          <w:szCs w:val="20"/>
          <w:color w:val="auto"/>
        </w:rPr>
      </w:pPr>
    </w:p>
    <w:p>
      <w:pPr>
        <w:ind w:right="80" w:firstLine="589"/>
        <w:spacing w:after="0" w:line="271" w:lineRule="auto"/>
        <w:rPr>
          <w:sz w:val="20"/>
          <w:szCs w:val="20"/>
          <w:color w:val="auto"/>
        </w:rPr>
      </w:pPr>
      <w:r>
        <w:rPr>
          <w:rFonts w:ascii="Arial" w:cs="Arial" w:eastAsia="Arial" w:hAnsi="Arial"/>
          <w:sz w:val="16"/>
          <w:szCs w:val="16"/>
          <w:color w:val="auto"/>
        </w:rPr>
        <w:t>Gross margins on new and used construction equipment sales decreased to 11.0% in 2007 from 11.8% in 2006. The lower gross margins for 2007 were due to the Company’s efforts to increase its market share in the Houston area. Additionally, gross margins on new and used construction equipment can fluctuate depending on the mix of products sold.</w:t>
      </w:r>
    </w:p>
    <w:p>
      <w:pPr>
        <w:spacing w:after="0" w:line="162" w:lineRule="exact"/>
        <w:rPr>
          <w:sz w:val="20"/>
          <w:szCs w:val="20"/>
          <w:color w:val="auto"/>
        </w:rPr>
      </w:pPr>
    </w:p>
    <w:p>
      <w:pPr>
        <w:ind w:right="180" w:firstLine="589"/>
        <w:spacing w:after="0" w:line="286" w:lineRule="auto"/>
        <w:rPr>
          <w:sz w:val="20"/>
          <w:szCs w:val="20"/>
          <w:color w:val="auto"/>
        </w:rPr>
      </w:pPr>
      <w:r>
        <w:rPr>
          <w:rFonts w:ascii="Arial" w:cs="Arial" w:eastAsia="Arial" w:hAnsi="Arial"/>
          <w:sz w:val="16"/>
          <w:szCs w:val="16"/>
          <w:color w:val="auto"/>
        </w:rPr>
        <w:t>Gross margins from truck lease and rental sales decreased to 15.4% in 2007 from approximately 21.9% in 2006. The decrease in the gross margin from lease and rental sales was primarily due to the decline in the utilization of the rental fleet, which is a result of the additions to our rental fleet in 2006.</w:t>
      </w:r>
    </w:p>
    <w:p>
      <w:pPr>
        <w:spacing w:after="0" w:line="150" w:lineRule="exact"/>
        <w:rPr>
          <w:sz w:val="20"/>
          <w:szCs w:val="20"/>
          <w:color w:val="auto"/>
        </w:rPr>
      </w:pPr>
    </w:p>
    <w:p>
      <w:pPr>
        <w:jc w:val="center"/>
        <w:ind w:left="320"/>
        <w:spacing w:after="0"/>
        <w:rPr>
          <w:sz w:val="20"/>
          <w:szCs w:val="20"/>
          <w:color w:val="auto"/>
        </w:rPr>
      </w:pPr>
      <w:r>
        <w:rPr>
          <w:rFonts w:ascii="Arial" w:cs="Arial" w:eastAsia="Arial" w:hAnsi="Arial"/>
          <w:sz w:val="15"/>
          <w:szCs w:val="15"/>
          <w:color w:val="auto"/>
        </w:rPr>
        <w:t>Finance and insurance revenues and other income, as described above, have limited direct costs and, therefore, contribute a disproportionate share of gross profit.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09"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Selling, General and Administrative (“SG&amp;A”) expenses increased $10.6 million, or 4.6%, in 2007 compared to 2006. SG&amp;A expenses as a percentage of sales increased to 11.9% in 2007 from 9.8% in 2006. In 2007, the selling portion of SG&amp;A expenses, which consists primarily of commissions on truck sales, decreased 12.6% and the general and administrative portion of SG&amp;A increased 7.3% compared to 2006.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09" w:lineRule="exact"/>
        <w:rPr>
          <w:sz w:val="20"/>
          <w:szCs w:val="20"/>
          <w:color w:val="auto"/>
        </w:rPr>
      </w:pPr>
    </w:p>
    <w:p>
      <w:pPr>
        <w:ind w:right="140" w:firstLine="589"/>
        <w:spacing w:after="0" w:line="266" w:lineRule="auto"/>
        <w:rPr>
          <w:sz w:val="20"/>
          <w:szCs w:val="20"/>
          <w:color w:val="auto"/>
        </w:rPr>
      </w:pPr>
      <w:r>
        <w:rPr>
          <w:rFonts w:ascii="Arial" w:cs="Arial" w:eastAsia="Arial" w:hAnsi="Arial"/>
          <w:sz w:val="16"/>
          <w:szCs w:val="16"/>
          <w:color w:val="auto"/>
        </w:rPr>
        <w:t>Net interest expense decreased $0.8 million, or 5.1%, in 2007 compared to 2006. In 2007, floor plan interest expense decreased compared to 2006 primarily due to the decrease in floor plan notes payable. To take advantage of increased truck demand in 2006, the Company maintained higher levels of truck inventory than it has traditionally maintained, which increased the Company’s floor plan notes payable in 2006 and the first half of 2007. The decrease in net interest expense in 2007 was compounded by earnings on the Company’s investment of available cash.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Income before income taxes decreased $12.3 million, or 13.0%, in 2007 compared to 2006, as a result of the factors described above.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Income taxes decreased $5.0 million, or 14.1%, in 2007 compared to 2006. The Company provided for taxes at a 37.0% effective rate in 2007.</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3" w:lineRule="exact"/>
        <w:rPr>
          <w:sz w:val="20"/>
          <w:szCs w:val="20"/>
          <w:color w:val="auto"/>
        </w:rPr>
      </w:pPr>
    </w:p>
    <w:p>
      <w:pPr>
        <w:ind w:right="220" w:firstLine="589"/>
        <w:spacing w:after="0" w:line="263"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implementation of SAP enterprise software and dealership management system, and the construction of new facilities. Historically, these cash requirements have been met through the retention of profits and borrowings under our floor plan arrangements. As of December 31, 2008, the Company had working capital of approximately $177.1 million, including $146.4 million in cash available to fund our operations. The Company believes that these funds are sufficient to meet its short-term and long-term cash requirements.</w:t>
      </w:r>
    </w:p>
    <w:p>
      <w:pPr>
        <w:spacing w:after="0" w:line="169"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December 31, 2008.</w:t>
      </w:r>
    </w:p>
    <w:p>
      <w:pPr>
        <w:spacing w:after="0" w:line="162"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December 31, 2008, however, $5.9 million was pledged to secure various letters of credit related to self-insurance products, leaving $2.1 million available for future borrowings as of December 31, 2008.</w:t>
      </w:r>
    </w:p>
    <w:p>
      <w:pPr>
        <w:spacing w:after="0" w:line="162"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December 31, 2008, the Company is in compliance with all debt covenants. The Company does not anticipate any breach of the covenants in the foreseeable future.</w:t>
      </w:r>
    </w:p>
    <w:p>
      <w:pPr>
        <w:spacing w:after="0" w:line="162" w:lineRule="exact"/>
        <w:rPr>
          <w:sz w:val="20"/>
          <w:szCs w:val="20"/>
          <w:color w:val="auto"/>
        </w:rPr>
      </w:pPr>
    </w:p>
    <w:p>
      <w:pPr>
        <w:ind w:right="60" w:firstLine="589"/>
        <w:spacing w:after="0" w:line="297" w:lineRule="auto"/>
        <w:rPr>
          <w:sz w:val="20"/>
          <w:szCs w:val="20"/>
          <w:color w:val="auto"/>
        </w:rPr>
      </w:pPr>
      <w:r>
        <w:rPr>
          <w:rFonts w:ascii="Arial" w:cs="Arial" w:eastAsia="Arial" w:hAnsi="Arial"/>
          <w:sz w:val="15"/>
          <w:szCs w:val="15"/>
          <w:color w:val="auto"/>
        </w:rPr>
        <w:t>Titan Technology Partners is currently implementing SAP enterprise software and a new SAP dealership management system for the Company. The total cost of the SAP software and implementation is estimated to be approximately $30.0 million to $32.0 million. As of December 31, 2008, the Company had expenditures of $20.9 million related to the SAP project. The Company expects to spend approximately $7.0 million to $8.0 million related to the SAP project in 2009.</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The Company is currently constructing a new facility for its Rush Truck Center location in Oklahoma City, Oklahoma at an estimated cost of $12.0 million. As of December 31, 2008, the Company had expenditures of $3.1 million related to the construction of the new facility.</w:t>
      </w:r>
    </w:p>
    <w:p>
      <w:pPr>
        <w:spacing w:after="0" w:line="150" w:lineRule="exact"/>
        <w:rPr>
          <w:sz w:val="20"/>
          <w:szCs w:val="20"/>
          <w:color w:val="auto"/>
        </w:rPr>
      </w:pPr>
    </w:p>
    <w:p>
      <w:pPr>
        <w:ind w:right="80" w:firstLine="589"/>
        <w:spacing w:after="0" w:line="327" w:lineRule="auto"/>
        <w:rPr>
          <w:sz w:val="20"/>
          <w:szCs w:val="20"/>
          <w:color w:val="auto"/>
        </w:rPr>
      </w:pPr>
      <w:r>
        <w:rPr>
          <w:rFonts w:ascii="Arial" w:cs="Arial" w:eastAsia="Arial" w:hAnsi="Arial"/>
          <w:sz w:val="14"/>
          <w:szCs w:val="14"/>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w:t>
      </w:r>
    </w:p>
    <w:p>
      <w:pPr>
        <w:sectPr>
          <w:pgSz w:w="11900" w:h="16838" w:orient="portrait"/>
          <w:cols w:equalWidth="0" w:num="1">
            <w:col w:w="11420"/>
          </w:cols>
          <w:pgMar w:left="240" w:top="127" w:right="239" w:bottom="0" w:gutter="0" w:footer="0" w:header="0"/>
        </w:sectPr>
      </w:pPr>
    </w:p>
    <w:bookmarkStart w:id="22" w:name="page23"/>
    <w:bookmarkEnd w:id="22"/>
    <w:p>
      <w:pPr>
        <w:spacing w:after="0" w:line="47"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December 31, 2008, the Company has repurchased 1,639,843 shares of its Class B common stock at a cost of $17.9 million.</w:t>
      </w:r>
    </w:p>
    <w:p>
      <w:pPr>
        <w:spacing w:after="0" w:line="169" w:lineRule="exact"/>
        <w:rPr>
          <w:sz w:val="20"/>
          <w:szCs w:val="20"/>
          <w:color w:val="auto"/>
        </w:rPr>
      </w:pPr>
    </w:p>
    <w:p>
      <w:pPr>
        <w:ind w:right="80" w:firstLine="589"/>
        <w:spacing w:after="0" w:line="271" w:lineRule="auto"/>
        <w:rPr>
          <w:sz w:val="20"/>
          <w:szCs w:val="20"/>
          <w:color w:val="auto"/>
        </w:rPr>
      </w:pPr>
      <w:r>
        <w:rPr>
          <w:rFonts w:ascii="Arial" w:cs="Arial" w:eastAsia="Arial" w:hAnsi="Arial"/>
          <w:sz w:val="16"/>
          <w:szCs w:val="16"/>
          <w:color w:val="auto"/>
        </w:rPr>
        <w:t xml:space="preserve">The Company has no other material commitments for capital expenditures as of </w:t>
      </w:r>
      <w:r>
        <w:rPr>
          <w:rFonts w:ascii="Arial" w:cs="Arial" w:eastAsia="Arial" w:hAnsi="Arial"/>
          <w:sz w:val="15"/>
          <w:szCs w:val="15"/>
          <w:color w:val="auto"/>
        </w:rPr>
        <w:t>December 31</w:t>
      </w:r>
      <w:r>
        <w:rPr>
          <w:rFonts w:ascii="Arial" w:cs="Arial" w:eastAsia="Arial" w:hAnsi="Arial"/>
          <w:sz w:val="16"/>
          <w:szCs w:val="16"/>
          <w:color w:val="auto"/>
        </w:rPr>
        <w:t>, 2008, except that the Company will continue to purchase vehicles for its lease and rental division and authorize capital expenditures for improvement and expansion of its dealership facilities based on market opportunities. The Company expects to purchase trucks worth approximately $30.0 million for its leasing operations in 2009, depending on customer demand.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13"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Cash and cash equivalents decreased by $40.6 million during the year ended December 31, 2008 and increased by $25.5 million during the year ended December 31, 2007. The major components of these changes are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Operating Activities</w:t>
      </w:r>
    </w:p>
    <w:p>
      <w:pPr>
        <w:spacing w:after="0" w:line="209"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2008, operating activities resulted in net cash provided by operations of $83.1 million. Cash provided by operating activities was primarily impacted by the decreased levels of new truck inventory, offset by decreases in accounts payable and accrued expenses. The majority of truck inventory is financed through the Company’s floor plan financing provider. During 2007, operating activities resulted in net cash provided by operations of $258.7 million.</w:t>
      </w:r>
    </w:p>
    <w:p>
      <w:pPr>
        <w:spacing w:after="0" w:line="166" w:lineRule="exact"/>
        <w:rPr>
          <w:sz w:val="20"/>
          <w:szCs w:val="20"/>
          <w:color w:val="auto"/>
        </w:rPr>
      </w:pPr>
    </w:p>
    <w:p>
      <w:pPr>
        <w:ind w:firstLine="589"/>
        <w:spacing w:after="0" w:line="262" w:lineRule="auto"/>
        <w:rPr>
          <w:sz w:val="20"/>
          <w:szCs w:val="20"/>
          <w:color w:val="auto"/>
        </w:rPr>
      </w:pPr>
      <w:r>
        <w:rPr>
          <w:rFonts w:ascii="Arial" w:cs="Arial" w:eastAsia="Arial" w:hAnsi="Arial"/>
          <w:sz w:val="16"/>
          <w:szCs w:val="16"/>
          <w:color w:val="auto"/>
        </w:rPr>
        <w:t>Cash flows from operating activities as adjusted for all draws and (payments) on floor plan notes (“Adjusted Cash Flows from Operating Activities”) was $88.9 million for the year ended December 31, 2008 and $86.0 million for the year ended December 31, 2007.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69"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The Company’s 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62" w:lineRule="exact"/>
        <w:rPr>
          <w:sz w:val="20"/>
          <w:szCs w:val="20"/>
          <w:color w:val="auto"/>
        </w:rPr>
      </w:pPr>
    </w:p>
    <w:p>
      <w:pPr>
        <w:ind w:right="260" w:firstLine="589"/>
        <w:spacing w:after="0" w:line="263"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292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Year Ended December 31,</w:t>
            </w:r>
          </w:p>
        </w:tc>
      </w:tr>
      <w:tr>
        <w:trPr>
          <w:trHeight w:val="127"/>
        </w:trPr>
        <w:tc>
          <w:tcPr>
            <w:tcW w:w="66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2008</w:t>
            </w:r>
          </w:p>
        </w:tc>
        <w:tc>
          <w:tcPr>
            <w:tcW w:w="5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2"/>
              <w:spacing w:after="0" w:line="12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r>
      <w:tr>
        <w:trPr>
          <w:trHeight w:val="189"/>
        </w:trPr>
        <w:tc>
          <w:tcPr>
            <w:tcW w:w="6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 (GAAP)</w:t>
            </w: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83,059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258,701</w:t>
            </w:r>
          </w:p>
        </w:tc>
        <w:tc>
          <w:tcPr>
            <w:tcW w:w="160" w:type="dxa"/>
            <w:vAlign w:val="bottom"/>
            <w:shd w:val="clear" w:color="auto" w:fill="CCEEFF"/>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Draws (payments) on floor plan notes payable</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5,864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(172,701 )</w:t>
            </w:r>
          </w:p>
        </w:tc>
      </w:tr>
      <w:tr>
        <w:trPr>
          <w:trHeight w:val="189"/>
        </w:trPr>
        <w:tc>
          <w:tcPr>
            <w:tcW w:w="6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6"/>
                <w:szCs w:val="16"/>
                <w:color w:val="auto"/>
              </w:rPr>
              <w:t>Adjusted Cash Flows from Operating Activities (Non-GAAP)</w:t>
            </w:r>
          </w:p>
        </w:tc>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88,923</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86,000</w:t>
            </w:r>
          </w:p>
        </w:tc>
        <w:tc>
          <w:tcPr>
            <w:tcW w:w="16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Investing Activities</w:t>
      </w:r>
    </w:p>
    <w:p>
      <w:pPr>
        <w:spacing w:after="0" w:line="209" w:lineRule="exact"/>
        <w:rPr>
          <w:sz w:val="20"/>
          <w:szCs w:val="20"/>
          <w:color w:val="auto"/>
        </w:rPr>
      </w:pPr>
    </w:p>
    <w:p>
      <w:pPr>
        <w:ind w:right="40" w:firstLine="589"/>
        <w:spacing w:after="0" w:line="281" w:lineRule="auto"/>
        <w:rPr>
          <w:sz w:val="20"/>
          <w:szCs w:val="20"/>
          <w:color w:val="auto"/>
        </w:rPr>
      </w:pPr>
      <w:r>
        <w:rPr>
          <w:rFonts w:ascii="Arial" w:cs="Arial" w:eastAsia="Arial" w:hAnsi="Arial"/>
          <w:sz w:val="15"/>
          <w:szCs w:val="15"/>
          <w:color w:val="auto"/>
        </w:rPr>
        <w:t>Cash flows from investing activities consist primarily of cash used for capital expenditures and business acquisitions. During 2008, the Company used $111.0 million in investing activities. Capital expenditures consisted of purchases of property and equipment, and improvements to our existing dealership facilities of $68.2 million. Of this amount, $31.2 million was used to purchase additional units for the rental and leasing operations during 2008, which was directly offset by borrowings of long-term debt. The Company expects truck purchases of approximately $30.0 million for its leasing operations in 2009 depending on customer demand. During 2009, the Company expects to make capital expenditures for recurring items such as computers, shop equipment and vehicles of approximately $10.0 million, in addition to $7.0 million to $8.0 million for the SAP software implementation described above. Cash used in business acquisitions was $37.4 million during the year ended December 31, 2008. See Note 17 of the Notes to Consolidated Financial Statements for a detailed discussion of these acquisitions.</w:t>
      </w:r>
    </w:p>
    <w:p>
      <w:pPr>
        <w:spacing w:after="0" w:line="156"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During 2007, cash used in investing activities was $67.5 million. Capital expenditures consisted of purchases of property and equipment, and improvements to our existing dealership facilities of $65.3 million. Of this amount, $37.6 million was used to purchase additional units for the rental and leasing operations during 2007 which was directly offset by borrowings of long-term debt. Cash used in business acquisitions was $7.9 million during the year ended December 31, 2007. See Note 17 of the Notes to Consolidated Financial Statements for a detailed discussion of these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Financing Activities</w:t>
      </w:r>
    </w:p>
    <w:p>
      <w:pPr>
        <w:spacing w:after="0" w:line="209" w:lineRule="exact"/>
        <w:rPr>
          <w:sz w:val="20"/>
          <w:szCs w:val="20"/>
          <w:color w:val="auto"/>
        </w:rPr>
      </w:pPr>
    </w:p>
    <w:p>
      <w:pPr>
        <w:ind w:right="20" w:firstLine="589"/>
        <w:spacing w:after="0" w:line="282" w:lineRule="auto"/>
        <w:rPr>
          <w:sz w:val="20"/>
          <w:szCs w:val="20"/>
          <w:color w:val="auto"/>
        </w:rPr>
      </w:pPr>
      <w:r>
        <w:rPr>
          <w:rFonts w:ascii="Arial" w:cs="Arial" w:eastAsia="Arial" w:hAnsi="Arial"/>
          <w:sz w:val="15"/>
          <w:szCs w:val="15"/>
          <w:color w:val="auto"/>
        </w:rPr>
        <w:t xml:space="preserve">Cash flows used in financing activities include borrowings and repayments of long-term debt and net payments of floor plan notes payable. Cash used in financing activities was $12.6 million during the year ended December 31, 2008. The Company had borrowings of long-term debt of $46.7 million and repayments of long-term debt of $43.3 million during the year ended December 31, 2008. The Company had net draws of floor plan notes payable of $5.9 million during the year ended December 31, 2008. The borrowings of long-term debt are primarily related to the increase in the lease and rental fleet and real estate refinancing. During the year ended December 31, 2008, the Company repurchased 1,639,843 shares of Class B common stock at a cost of $17.9 million pursuant to a stock repurchase program approved by the Company’s Board of Directors. </w:t>
      </w:r>
      <w:r>
        <w:rPr>
          <w:rFonts w:ascii="Arial" w:cs="Arial" w:eastAsia="Arial" w:hAnsi="Arial"/>
          <w:sz w:val="14"/>
          <w:szCs w:val="14"/>
          <w:color w:val="auto"/>
        </w:rPr>
        <w:t>See Note 13 of the Notes to Consolidated Financial Statements for a detailed discussion of the stock repurchase program.</w:t>
      </w:r>
    </w:p>
    <w:p>
      <w:pPr>
        <w:spacing w:after="0" w:line="158" w:lineRule="exact"/>
        <w:rPr>
          <w:sz w:val="20"/>
          <w:szCs w:val="20"/>
          <w:color w:val="auto"/>
        </w:rPr>
      </w:pPr>
    </w:p>
    <w:p>
      <w:pPr>
        <w:ind w:right="40" w:firstLine="589"/>
        <w:spacing w:after="0" w:line="297" w:lineRule="auto"/>
        <w:rPr>
          <w:sz w:val="20"/>
          <w:szCs w:val="20"/>
          <w:color w:val="auto"/>
        </w:rPr>
      </w:pPr>
      <w:r>
        <w:rPr>
          <w:rFonts w:ascii="Arial" w:cs="Arial" w:eastAsia="Arial" w:hAnsi="Arial"/>
          <w:sz w:val="15"/>
          <w:szCs w:val="15"/>
          <w:color w:val="auto"/>
        </w:rPr>
        <w:t>Cash used in financing activities was $165.7 million during the year ended December 31, 2007. The Company had borrowings of long-term debt of $43.2 million and repayments of long-term debt of $37.9 million during the year ended December 31, 2007. The Company had net payments of floor plan notes payable of $172.7 million during the year ended December 31, 2007. The borrowings of long-term debt are primarily related to the increase in the lease and rental fleet and real estate refinancing.</w:t>
      </w:r>
    </w:p>
    <w:p>
      <w:pPr>
        <w:spacing w:after="0" w:line="145" w:lineRule="exact"/>
        <w:rPr>
          <w:sz w:val="20"/>
          <w:szCs w:val="20"/>
          <w:color w:val="auto"/>
        </w:rPr>
      </w:pPr>
    </w:p>
    <w:p>
      <w:pPr>
        <w:ind w:right="80" w:firstLine="589"/>
        <w:spacing w:after="0" w:line="315" w:lineRule="auto"/>
        <w:rPr>
          <w:sz w:val="20"/>
          <w:szCs w:val="20"/>
          <w:color w:val="auto"/>
        </w:rPr>
      </w:pPr>
      <w:r>
        <w:rPr>
          <w:rFonts w:ascii="Arial" w:cs="Arial" w:eastAsia="Arial" w:hAnsi="Arial"/>
          <w:sz w:val="14"/>
          <w:szCs w:val="14"/>
          <w:color w:val="auto"/>
        </w:rPr>
        <w:t>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which can be terminated by GE Capital with 120 days notice at any time.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w:t>
      </w:r>
    </w:p>
    <w:p>
      <w:pPr>
        <w:sectPr>
          <w:pgSz w:w="11900" w:h="16885" w:orient="portrait"/>
          <w:cols w:equalWidth="0" w:num="1">
            <w:col w:w="11400"/>
          </w:cols>
          <w:pgMar w:left="240" w:top="127" w:right="259" w:bottom="0" w:gutter="0" w:footer="0" w:header="0"/>
        </w:sectPr>
      </w:pPr>
    </w:p>
    <w:bookmarkStart w:id="23" w:name="page24"/>
    <w:bookmarkEnd w:id="23"/>
    <w:p>
      <w:pPr>
        <w:ind w:left="2"/>
        <w:spacing w:after="0" w:line="271" w:lineRule="auto"/>
        <w:rPr>
          <w:sz w:val="20"/>
          <w:szCs w:val="20"/>
          <w:color w:val="auto"/>
        </w:rPr>
      </w:pPr>
      <w:r>
        <w:rPr>
          <w:rFonts w:ascii="Arial" w:cs="Arial" w:eastAsia="Arial" w:hAnsi="Arial"/>
          <w:sz w:val="16"/>
          <w:szCs w:val="16"/>
          <w:color w:val="auto"/>
        </w:rPr>
        <w:t>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right="80"/>
        <w:spacing w:after="0" w:line="263" w:lineRule="auto"/>
        <w:rPr>
          <w:sz w:val="20"/>
          <w:szCs w:val="20"/>
          <w:color w:val="auto"/>
        </w:rPr>
      </w:pPr>
      <w:r>
        <w:rPr>
          <w:rFonts w:ascii="Arial" w:cs="Arial" w:eastAsia="Arial" w:hAnsi="Arial"/>
          <w:sz w:val="16"/>
          <w:szCs w:val="16"/>
          <w:color w:val="auto"/>
        </w:rPr>
        <w:t>The floor plan financing agreement allows for prepayments and working capital advances with monthly adjustments to the interest due on outstanding advances. On December 31, 2008, the Company had approximately $266.0 million outstanding under its floor plan financing agreement with GE Capital. In connection with the Amended and Restated Wholesale Agreement with GE Capital, the Company executed a Continuing Guaranty in favor of GE Capital to a maximum principal amount of $600 million, plus unpaid interest and reasonable costs of collection. Except for the procedures and other terms and conditions set forth in the Amended and Restated Wholesale Agreement, the Company is not aware of any limitation on the Company’s ability to access capital through this facility.</w:t>
      </w:r>
    </w:p>
    <w:p>
      <w:pPr>
        <w:spacing w:after="0" w:line="169" w:lineRule="exact"/>
        <w:rPr>
          <w:sz w:val="20"/>
          <w:szCs w:val="20"/>
          <w:color w:val="auto"/>
        </w:rPr>
      </w:pPr>
    </w:p>
    <w:p>
      <w:pPr>
        <w:ind w:left="2" w:right="40" w:firstLine="589"/>
        <w:spacing w:after="0" w:line="242"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an interest-free financing period after which time the amount financed is required to be paid in full. When construction equipment is sold prior to the expiration of the interest-free finance period, the Company is required to repay the principal within approximately ten days of the sale. If the construction equipment financed by John Deere is not sold within the interest-free finance period, it is transferred to the Chase floor plan. The Company makes principal payments for sold inventory to Chase on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each month. Construction equipment is financed to a maximum of book value under the floor plan financing agreement with Chase. The Company makes monthly interest payments on the amount financed and is required to commence loan principal repayments on construction equipment as book value is reduced. Principal payments for sold used construction equipment are made no later than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each month following the sale. The loans are collateralized by a lien on the construction equipment. The Company’s floor plan financing agreement with Chase permits financing of up to $20.0 million in construction equipment and expires in June 2009. On December 31, 2008, the Company had $3.7 million outstanding under its floor plan financing agreement with John Deere and $13.0 million outstanding under its floor plan financing agreement with Chase.</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Cyclicality</w:t>
      </w:r>
    </w:p>
    <w:p>
      <w:pPr>
        <w:spacing w:after="0" w:line="213" w:lineRule="exact"/>
        <w:rPr>
          <w:sz w:val="20"/>
          <w:szCs w:val="20"/>
          <w:color w:val="auto"/>
        </w:rPr>
      </w:pPr>
    </w:p>
    <w:p>
      <w:pPr>
        <w:ind w:left="2" w:right="220" w:firstLine="589"/>
        <w:spacing w:after="0" w:line="282" w:lineRule="auto"/>
        <w:rPr>
          <w:sz w:val="20"/>
          <w:szCs w:val="20"/>
          <w:color w:val="auto"/>
        </w:rPr>
      </w:pPr>
      <w:r>
        <w:rPr>
          <w:rFonts w:ascii="Arial" w:cs="Arial" w:eastAsia="Arial" w:hAnsi="Arial"/>
          <w:sz w:val="15"/>
          <w:szCs w:val="15"/>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U.S. retail sales of new Class 8 trucks have ranged from a low of approximately 140,000 in 2001 and 2008 to a high of approximately 291,000 in 2006.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Effects of Inflation</w:t>
      </w:r>
    </w:p>
    <w:p>
      <w:pPr>
        <w:spacing w:after="0" w:line="213" w:lineRule="exact"/>
        <w:rPr>
          <w:sz w:val="20"/>
          <w:szCs w:val="20"/>
          <w:color w:val="auto"/>
        </w:rPr>
      </w:pPr>
    </w:p>
    <w:p>
      <w:pPr>
        <w:ind w:left="2" w:right="500" w:firstLine="589"/>
        <w:spacing w:after="0" w:line="286" w:lineRule="auto"/>
        <w:rPr>
          <w:sz w:val="20"/>
          <w:szCs w:val="20"/>
          <w:color w:val="auto"/>
        </w:rPr>
      </w:pPr>
      <w:r>
        <w:rPr>
          <w:rFonts w:ascii="Arial" w:cs="Arial" w:eastAsia="Arial" w:hAnsi="Arial"/>
          <w:sz w:val="16"/>
          <w:szCs w:val="16"/>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Off-Balance Sheet Arrangements</w:t>
      </w:r>
    </w:p>
    <w:p>
      <w:pPr>
        <w:spacing w:after="0" w:line="213" w:lineRule="exact"/>
        <w:rPr>
          <w:sz w:val="20"/>
          <w:szCs w:val="20"/>
          <w:color w:val="auto"/>
        </w:rPr>
      </w:pPr>
    </w:p>
    <w:p>
      <w:pPr>
        <w:ind w:left="2" w:right="120" w:firstLine="294"/>
        <w:spacing w:after="0" w:line="271" w:lineRule="auto"/>
        <w:rPr>
          <w:sz w:val="20"/>
          <w:szCs w:val="20"/>
          <w:color w:val="auto"/>
        </w:rPr>
      </w:pPr>
      <w:r>
        <w:rPr>
          <w:rFonts w:ascii="Arial" w:cs="Arial" w:eastAsia="Arial" w:hAnsi="Arial"/>
          <w:sz w:val="16"/>
          <w:szCs w:val="16"/>
          <w:color w:val="auto"/>
        </w:rPr>
        <w:t>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Contractual Obligations</w:t>
      </w:r>
    </w:p>
    <w:p>
      <w:pPr>
        <w:spacing w:after="0" w:line="213"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The Company has certain contractual obligations that will impact its short and long-term liquidity. At December 31, 2008, such obligations were as follows:</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0"/>
              </w:rPr>
              <w:t>Payments Due by Period</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07"/>
        </w:trPr>
        <w:tc>
          <w:tcPr>
            <w:tcW w:w="2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ind w:right="282"/>
              <w:spacing w:after="0" w:line="107" w:lineRule="exact"/>
              <w:rPr>
                <w:sz w:val="20"/>
                <w:szCs w:val="20"/>
                <w:color w:val="auto"/>
              </w:rPr>
            </w:pPr>
            <w:r>
              <w:rPr>
                <w:rFonts w:ascii="Arial" w:cs="Arial" w:eastAsia="Arial" w:hAnsi="Arial"/>
                <w:sz w:val="12"/>
                <w:szCs w:val="12"/>
                <w:b w:val="1"/>
                <w:bCs w:val="1"/>
                <w:color w:val="auto"/>
              </w:rPr>
              <w:t>Less than 1</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jc w:val="right"/>
              <w:ind w:right="484"/>
              <w:spacing w:after="0" w:line="107" w:lineRule="exact"/>
              <w:rPr>
                <w:sz w:val="20"/>
                <w:szCs w:val="20"/>
                <w:color w:val="auto"/>
              </w:rPr>
            </w:pPr>
            <w:r>
              <w:rPr>
                <w:rFonts w:ascii="Arial" w:cs="Arial" w:eastAsia="Arial" w:hAnsi="Arial"/>
                <w:sz w:val="12"/>
                <w:szCs w:val="12"/>
                <w:b w:val="1"/>
                <w:bCs w:val="1"/>
                <w:color w:val="auto"/>
              </w:rPr>
              <w:t>1-3</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right"/>
              <w:ind w:right="482"/>
              <w:spacing w:after="0" w:line="107" w:lineRule="exact"/>
              <w:rPr>
                <w:sz w:val="20"/>
                <w:szCs w:val="20"/>
                <w:color w:val="auto"/>
              </w:rPr>
            </w:pPr>
            <w:r>
              <w:rPr>
                <w:rFonts w:ascii="Arial" w:cs="Arial" w:eastAsia="Arial" w:hAnsi="Arial"/>
                <w:sz w:val="12"/>
                <w:szCs w:val="12"/>
                <w:b w:val="1"/>
                <w:bCs w:val="1"/>
                <w:color w:val="auto"/>
              </w:rPr>
              <w:t>3-5</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122"/>
              <w:spacing w:after="0" w:line="107" w:lineRule="exact"/>
              <w:rPr>
                <w:sz w:val="20"/>
                <w:szCs w:val="20"/>
                <w:color w:val="auto"/>
              </w:rPr>
            </w:pPr>
            <w:r>
              <w:rPr>
                <w:rFonts w:ascii="Arial" w:cs="Arial" w:eastAsia="Arial" w:hAnsi="Arial"/>
                <w:sz w:val="12"/>
                <w:szCs w:val="12"/>
                <w:b w:val="1"/>
                <w:bCs w:val="1"/>
                <w:color w:val="auto"/>
              </w:rPr>
              <w:t>More than 5</w:t>
            </w:r>
          </w:p>
        </w:tc>
        <w:tc>
          <w:tcPr>
            <w:tcW w:w="180" w:type="dxa"/>
            <w:vAlign w:val="bottom"/>
          </w:tcPr>
          <w:p>
            <w:pPr>
              <w:spacing w:after="0"/>
              <w:rPr>
                <w:sz w:val="9"/>
                <w:szCs w:val="9"/>
                <w:color w:val="auto"/>
              </w:rPr>
            </w:pPr>
          </w:p>
        </w:tc>
      </w:tr>
      <w:tr>
        <w:trPr>
          <w:trHeight w:val="155"/>
        </w:trPr>
        <w:tc>
          <w:tcPr>
            <w:tcW w:w="4000" w:type="dxa"/>
            <w:vAlign w:val="bottom"/>
            <w:gridSpan w:val="3"/>
          </w:tcPr>
          <w:p>
            <w:pPr>
              <w:spacing w:after="0"/>
              <w:rPr>
                <w:sz w:val="20"/>
                <w:szCs w:val="20"/>
                <w:color w:val="auto"/>
              </w:rPr>
            </w:pPr>
            <w:r>
              <w:rPr>
                <w:rFonts w:ascii="Arial" w:cs="Arial" w:eastAsia="Arial" w:hAnsi="Arial"/>
                <w:sz w:val="13"/>
                <w:szCs w:val="13"/>
                <w:b w:val="1"/>
                <w:bCs w:val="1"/>
                <w:color w:val="auto"/>
              </w:rPr>
              <w:t>Contractual Obligations</w:t>
            </w:r>
          </w:p>
        </w:tc>
        <w:tc>
          <w:tcPr>
            <w:tcW w:w="32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100" w:type="dxa"/>
            <w:vAlign w:val="bottom"/>
          </w:tcPr>
          <w:p>
            <w:pPr>
              <w:jc w:val="right"/>
              <w:ind w:right="462"/>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340"/>
              <w:spacing w:after="0"/>
              <w:rPr>
                <w:sz w:val="20"/>
                <w:szCs w:val="20"/>
                <w:color w:val="auto"/>
              </w:rPr>
            </w:pPr>
            <w:r>
              <w:rPr>
                <w:rFonts w:ascii="Arial" w:cs="Arial" w:eastAsia="Arial" w:hAnsi="Arial"/>
                <w:sz w:val="13"/>
                <w:szCs w:val="13"/>
                <w:b w:val="1"/>
                <w:bCs w:val="1"/>
                <w:color w:val="auto"/>
              </w:rPr>
              <w:t>years</w:t>
            </w:r>
          </w:p>
        </w:tc>
        <w:tc>
          <w:tcPr>
            <w:tcW w:w="30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years</w:t>
            </w:r>
          </w:p>
        </w:tc>
        <w:tc>
          <w:tcPr>
            <w:tcW w:w="20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years</w:t>
            </w:r>
          </w:p>
        </w:tc>
      </w:tr>
      <w:tr>
        <w:trPr>
          <w:trHeight w:val="127"/>
        </w:trPr>
        <w:tc>
          <w:tcPr>
            <w:tcW w:w="2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400"/>
              <w:spacing w:after="0" w:line="128" w:lineRule="exact"/>
              <w:rPr>
                <w:sz w:val="20"/>
                <w:szCs w:val="20"/>
                <w:color w:val="auto"/>
              </w:rPr>
            </w:pPr>
            <w:r>
              <w:rPr>
                <w:rFonts w:ascii="Arial" w:cs="Arial" w:eastAsia="Arial" w:hAnsi="Arial"/>
                <w:sz w:val="13"/>
                <w:szCs w:val="13"/>
                <w:b w:val="1"/>
                <w:bCs w:val="1"/>
                <w:color w:val="auto"/>
                <w:w w:val="89"/>
              </w:rPr>
              <w:t>(in thousands)</w:t>
            </w: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96"/>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 obligations (1)</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209,676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103,214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80" w:type="dxa"/>
            <w:vAlign w:val="bottom"/>
            <w:shd w:val="clear" w:color="auto" w:fill="CCEEFF"/>
          </w:tcPr>
          <w:p>
            <w:pPr>
              <w:spacing w:after="0"/>
              <w:rPr>
                <w:sz w:val="17"/>
                <w:szCs w:val="17"/>
                <w:color w:val="auto"/>
              </w:rPr>
            </w:pPr>
          </w:p>
        </w:tc>
      </w:tr>
      <w:tr>
        <w:trPr>
          <w:trHeight w:val="196"/>
        </w:trPr>
        <w:tc>
          <w:tcPr>
            <w:tcW w:w="4000" w:type="dxa"/>
            <w:vAlign w:val="bottom"/>
            <w:gridSpan w:val="3"/>
          </w:tcPr>
          <w:p>
            <w:pPr>
              <w:spacing w:after="0"/>
              <w:rPr>
                <w:sz w:val="20"/>
                <w:szCs w:val="20"/>
                <w:color w:val="auto"/>
              </w:rPr>
            </w:pPr>
            <w:r>
              <w:rPr>
                <w:rFonts w:ascii="Arial" w:cs="Arial" w:eastAsia="Arial" w:hAnsi="Arial"/>
                <w:sz w:val="16"/>
                <w:szCs w:val="16"/>
                <w:color w:val="auto"/>
              </w:rPr>
              <w:t>Capital lease obligations(2)</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7,020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752</w:t>
            </w:r>
          </w:p>
        </w:tc>
        <w:tc>
          <w:tcPr>
            <w:tcW w:w="180" w:type="dxa"/>
            <w:vAlign w:val="bottom"/>
          </w:tcPr>
          <w:p>
            <w:pPr>
              <w:spacing w:after="0"/>
              <w:rPr>
                <w:sz w:val="17"/>
                <w:szCs w:val="17"/>
                <w:color w:val="auto"/>
              </w:rPr>
            </w:pPr>
          </w:p>
        </w:tc>
      </w:tr>
      <w:tr>
        <w:trPr>
          <w:trHeight w:val="196"/>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lease obligations(3)</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10,563</w:t>
            </w:r>
          </w:p>
        </w:tc>
        <w:tc>
          <w:tcPr>
            <w:tcW w:w="180" w:type="dxa"/>
            <w:vAlign w:val="bottom"/>
            <w:shd w:val="clear" w:color="auto" w:fill="CCEEFF"/>
          </w:tcPr>
          <w:p>
            <w:pPr>
              <w:spacing w:after="0"/>
              <w:rPr>
                <w:sz w:val="17"/>
                <w:szCs w:val="17"/>
                <w:color w:val="auto"/>
              </w:rPr>
            </w:pPr>
          </w:p>
        </w:tc>
      </w:tr>
      <w:tr>
        <w:trPr>
          <w:trHeight w:val="196"/>
        </w:trPr>
        <w:tc>
          <w:tcPr>
            <w:tcW w:w="4000" w:type="dxa"/>
            <w:vAlign w:val="bottom"/>
            <w:gridSpan w:val="3"/>
          </w:tcPr>
          <w:p>
            <w:pPr>
              <w:spacing w:after="0"/>
              <w:rPr>
                <w:sz w:val="20"/>
                <w:szCs w:val="20"/>
                <w:color w:val="auto"/>
              </w:rPr>
            </w:pPr>
            <w:r>
              <w:rPr>
                <w:rFonts w:ascii="Arial" w:cs="Arial" w:eastAsia="Arial" w:hAnsi="Arial"/>
                <w:sz w:val="16"/>
                <w:szCs w:val="16"/>
                <w:color w:val="auto"/>
              </w:rPr>
              <w:t>Floor plan debt obligation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282,702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282,702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6"/>
        </w:trPr>
        <w:tc>
          <w:tcPr>
            <w:tcW w:w="4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obligations (4)</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80" w:type="dxa"/>
            <w:vAlign w:val="bottom"/>
            <w:shd w:val="clear" w:color="auto" w:fill="CCEEFF"/>
          </w:tcPr>
          <w:p>
            <w:pPr>
              <w:spacing w:after="0"/>
              <w:rPr>
                <w:sz w:val="17"/>
                <w:szCs w:val="17"/>
                <w:color w:val="auto"/>
              </w:rPr>
            </w:pPr>
          </w:p>
        </w:tc>
      </w:tr>
      <w:tr>
        <w:trPr>
          <w:trHeight w:val="196"/>
        </w:trPr>
        <w:tc>
          <w:tcPr>
            <w:tcW w:w="4000" w:type="dxa"/>
            <w:vAlign w:val="bottom"/>
            <w:gridSpan w:val="3"/>
          </w:tcPr>
          <w:p>
            <w:pPr>
              <w:spacing w:after="0"/>
              <w:rPr>
                <w:sz w:val="20"/>
                <w:szCs w:val="20"/>
                <w:color w:val="auto"/>
              </w:rPr>
            </w:pPr>
            <w:r>
              <w:rPr>
                <w:rFonts w:ascii="Arial" w:cs="Arial" w:eastAsia="Arial" w:hAnsi="Arial"/>
                <w:sz w:val="16"/>
                <w:szCs w:val="16"/>
                <w:color w:val="auto"/>
              </w:rPr>
              <w:t>Purchase obligations(5)</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9"/>
        </w:trPr>
        <w:tc>
          <w:tcPr>
            <w:tcW w:w="4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598,614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363,206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138,082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77,214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5"/>
        </w:trPr>
        <w:tc>
          <w:tcPr>
            <w:tcW w:w="288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86" w:lineRule="exact"/>
        <w:rPr>
          <w:sz w:val="20"/>
          <w:szCs w:val="20"/>
          <w:color w:val="auto"/>
        </w:rPr>
      </w:pPr>
    </w:p>
    <w:p>
      <w:pPr>
        <w:ind w:left="642" w:hanging="642"/>
        <w:spacing w:after="0"/>
        <w:tabs>
          <w:tab w:leader="none" w:pos="6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Note 8 of Notes to Consolidated Financial Statements.</w:t>
      </w:r>
    </w:p>
    <w:p>
      <w:pPr>
        <w:spacing w:after="0" w:line="208" w:lineRule="exact"/>
        <w:rPr>
          <w:rFonts w:ascii="Arial" w:cs="Arial" w:eastAsia="Arial" w:hAnsi="Arial"/>
          <w:sz w:val="16"/>
          <w:szCs w:val="16"/>
          <w:color w:val="auto"/>
        </w:rPr>
      </w:pPr>
    </w:p>
    <w:p>
      <w:pPr>
        <w:ind w:left="642" w:hanging="642"/>
        <w:spacing w:after="0"/>
        <w:tabs>
          <w:tab w:leader="none" w:pos="6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Note 11 of Notes to Consolidated Financial Statements. Amounts include interest.</w:t>
      </w:r>
    </w:p>
    <w:p>
      <w:pPr>
        <w:spacing w:after="0" w:line="208" w:lineRule="exact"/>
        <w:rPr>
          <w:rFonts w:ascii="Arial" w:cs="Arial" w:eastAsia="Arial" w:hAnsi="Arial"/>
          <w:sz w:val="16"/>
          <w:szCs w:val="16"/>
          <w:color w:val="auto"/>
        </w:rPr>
      </w:pPr>
    </w:p>
    <w:p>
      <w:pPr>
        <w:ind w:left="642" w:hanging="642"/>
        <w:spacing w:after="0"/>
        <w:tabs>
          <w:tab w:leader="none" w:pos="6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Note 11 of Notes to Consolidated Financial Statements.</w:t>
      </w:r>
    </w:p>
    <w:p>
      <w:pPr>
        <w:spacing w:after="0" w:line="208" w:lineRule="exact"/>
        <w:rPr>
          <w:rFonts w:ascii="Arial" w:cs="Arial" w:eastAsia="Arial" w:hAnsi="Arial"/>
          <w:sz w:val="16"/>
          <w:szCs w:val="16"/>
          <w:color w:val="auto"/>
        </w:rPr>
      </w:pPr>
    </w:p>
    <w:p>
      <w:pPr>
        <w:ind w:left="2" w:right="60" w:hanging="2"/>
        <w:spacing w:after="0" w:line="271" w:lineRule="auto"/>
        <w:tabs>
          <w:tab w:leader="none" w:pos="6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computing interest expense, the Company used its weighted average interest rate outstanding on fixed rate debt to estimate its interest expense on fixed rate debt. The Company used its weighted average variable interest rate on outstanding variable rate debt at December 31, 2008 and added 0.25 percent per year to estimate its interest expense on variable rate debt.</w:t>
      </w:r>
    </w:p>
    <w:p>
      <w:pPr>
        <w:spacing w:after="0" w:line="161" w:lineRule="exact"/>
        <w:rPr>
          <w:rFonts w:ascii="Arial" w:cs="Arial" w:eastAsia="Arial" w:hAnsi="Arial"/>
          <w:sz w:val="16"/>
          <w:szCs w:val="16"/>
          <w:color w:val="auto"/>
        </w:rPr>
      </w:pPr>
    </w:p>
    <w:p>
      <w:pPr>
        <w:ind w:left="2" w:right="660" w:hanging="2"/>
        <w:spacing w:after="0" w:line="286" w:lineRule="auto"/>
        <w:tabs>
          <w:tab w:leader="none" w:pos="6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obligations represent non-cancelable contractual obligations at December 31, 2008. Our non-cancelable contractual obligations are related to the construction projection for our Oklahoma City facility and our SAP implementation.</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13" w:lineRule="exact"/>
        <w:rPr>
          <w:sz w:val="20"/>
          <w:szCs w:val="20"/>
          <w:color w:val="auto"/>
        </w:rPr>
      </w:pPr>
    </w:p>
    <w:p>
      <w:pPr>
        <w:ind w:left="2" w:right="60" w:firstLine="589"/>
        <w:spacing w:after="0" w:line="286"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ectPr>
          <w:pgSz w:w="11900" w:h="16838" w:orient="portrait"/>
          <w:cols w:equalWidth="0" w:num="1">
            <w:col w:w="11422"/>
          </w:cols>
          <w:pgMar w:left="238" w:top="127" w:right="239" w:bottom="0" w:gutter="0" w:footer="0" w:header="0"/>
        </w:sectPr>
      </w:pPr>
    </w:p>
    <w:bookmarkStart w:id="24" w:name="page25"/>
    <w:bookmarkEnd w:id="24"/>
    <w:p>
      <w:pPr>
        <w:ind w:right="60" w:firstLine="589"/>
        <w:spacing w:after="0" w:line="282" w:lineRule="auto"/>
        <w:rPr>
          <w:sz w:val="20"/>
          <w:szCs w:val="20"/>
          <w:color w:val="auto"/>
        </w:rPr>
      </w:pPr>
      <w:r>
        <w:rPr>
          <w:rFonts w:ascii="Arial" w:cs="Arial" w:eastAsia="Arial" w:hAnsi="Arial"/>
          <w:sz w:val="15"/>
          <w:szCs w:val="15"/>
          <w:color w:val="auto"/>
        </w:rPr>
        <w:t>The Company is exposed to some market risk through interest rates related to our floor plan financing agreements, variable rate debt and discount rates related to finance sales. Floor plan borrowings are based on LIBOR and are used to meet working capital needs. As of December 31, 2008, the Company had floor plan borrowings of approximately $282.7 million. Assuming an increase in LIBOR of 100 basis points, annual interest expense could increase by approximately $2.8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58" w:lineRule="exact"/>
        <w:rPr>
          <w:sz w:val="20"/>
          <w:szCs w:val="20"/>
          <w:color w:val="auto"/>
        </w:rPr>
      </w:pPr>
    </w:p>
    <w:p>
      <w:pPr>
        <w:ind w:right="180" w:firstLine="589"/>
        <w:spacing w:after="0" w:line="285" w:lineRule="auto"/>
        <w:rPr>
          <w:sz w:val="20"/>
          <w:szCs w:val="20"/>
          <w:color w:val="auto"/>
        </w:rPr>
      </w:pPr>
      <w:r>
        <w:rPr>
          <w:rFonts w:ascii="Arial" w:cs="Arial" w:eastAsia="Arial" w:hAnsi="Arial"/>
          <w:sz w:val="15"/>
          <w:szCs w:val="15"/>
          <w:color w:val="auto"/>
        </w:rPr>
        <w:t>The Company is also exposed to some market risk through interest rates related to the investment of our current cash and cash equivalents which totaled $146.4 million on December 31, 2008.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$1.5 million.</w:t>
      </w:r>
    </w:p>
    <w:p>
      <w:pPr>
        <w:spacing w:after="0" w:line="153" w:lineRule="exact"/>
        <w:rPr>
          <w:sz w:val="20"/>
          <w:szCs w:val="20"/>
          <w:color w:val="auto"/>
        </w:rPr>
      </w:pPr>
    </w:p>
    <w:p>
      <w:pPr>
        <w:ind w:right="120" w:firstLine="589"/>
        <w:spacing w:after="0" w:line="266" w:lineRule="auto"/>
        <w:rPr>
          <w:sz w:val="20"/>
          <w:szCs w:val="20"/>
          <w:color w:val="auto"/>
        </w:rPr>
      </w:pPr>
      <w:r>
        <w:rPr>
          <w:rFonts w:ascii="Arial" w:cs="Arial" w:eastAsia="Arial" w:hAnsi="Arial"/>
          <w:sz w:val="16"/>
          <w:szCs w:val="16"/>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60" w:firstLine="589"/>
        <w:spacing w:after="0" w:line="285" w:lineRule="auto"/>
        <w:rPr>
          <w:sz w:val="20"/>
          <w:szCs w:val="20"/>
          <w:color w:val="auto"/>
        </w:rPr>
      </w:pPr>
      <w:r>
        <w:rPr>
          <w:rFonts w:ascii="Arial" w:cs="Arial" w:eastAsia="Arial" w:hAnsi="Arial"/>
          <w:sz w:val="15"/>
          <w:szCs w:val="15"/>
          <w:color w:val="auto"/>
        </w:rPr>
        <w:t>As of December 31, 2008, the Company holds $7.6 million of auction rate securities with underlying tax-exempt municipal bonds with stated maturities of 22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Income of approximately $0.8 million. For further discussion of the risks related to our auction rate securities, see Note 18 — Investments of the Notes to Consolidated Financial Statements and Item 1A — Risk Factors.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has not used derivative financial instruments in our investment portfolio.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7940" w:type="dxa"/>
            <w:vAlign w:val="bottom"/>
            <w:gridSpan w:val="7"/>
          </w:tcPr>
          <w:p>
            <w:pPr>
              <w:spacing w:after="0"/>
              <w:rPr>
                <w:sz w:val="16"/>
                <w:szCs w:val="16"/>
                <w:color w:val="auto"/>
              </w:rPr>
            </w:pPr>
          </w:p>
        </w:tc>
        <w:tc>
          <w:tcPr>
            <w:tcW w:w="2320" w:type="dxa"/>
            <w:vAlign w:val="bottom"/>
          </w:tcPr>
          <w:p>
            <w:pPr>
              <w:spacing w:after="0"/>
              <w:rPr>
                <w:sz w:val="16"/>
                <w:szCs w:val="16"/>
                <w:color w:val="auto"/>
              </w:rPr>
            </w:pPr>
          </w:p>
        </w:tc>
      </w:tr>
      <w:tr>
        <w:trPr>
          <w:trHeight w:val="408"/>
        </w:trPr>
        <w:tc>
          <w:tcPr>
            <w:tcW w:w="9100" w:type="dxa"/>
            <w:vAlign w:val="bottom"/>
            <w:gridSpan w:val="8"/>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2320" w:type="dxa"/>
            <w:vAlign w:val="bottom"/>
          </w:tcPr>
          <w:p>
            <w:pPr>
              <w:spacing w:after="0"/>
              <w:rPr>
                <w:sz w:val="24"/>
                <w:szCs w:val="24"/>
                <w:color w:val="auto"/>
              </w:rPr>
            </w:pPr>
          </w:p>
        </w:tc>
      </w:tr>
      <w:tr>
        <w:trPr>
          <w:trHeight w:val="357"/>
        </w:trPr>
        <w:tc>
          <w:tcPr>
            <w:tcW w:w="9100" w:type="dxa"/>
            <w:vAlign w:val="bottom"/>
            <w:gridSpan w:val="8"/>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Report of Independent Registered Public Accounting Firm</w:t>
              </w:r>
            </w:hyperlink>
          </w:p>
        </w:tc>
        <w:tc>
          <w:tcPr>
            <w:tcW w:w="23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73"/>
        </w:trPr>
        <w:tc>
          <w:tcPr>
            <w:tcW w:w="424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6">
              <w:r>
                <w:rPr>
                  <w:rFonts w:ascii="Arial" w:cs="Arial" w:eastAsia="Arial" w:hAnsi="Arial"/>
                  <w:sz w:val="16"/>
                  <w:szCs w:val="16"/>
                  <w:color w:val="0000EE"/>
                  <w:w w:val="90"/>
                </w:rPr>
                <w:t>Consolidated Balance Sheets as of December 31, 2008 and 2007</w:t>
              </w:r>
            </w:hyperlink>
          </w:p>
        </w:tc>
        <w:tc>
          <w:tcPr>
            <w:tcW w:w="486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73"/>
        </w:trPr>
        <w:tc>
          <w:tcPr>
            <w:tcW w:w="606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26">
              <w:r>
                <w:rPr>
                  <w:rFonts w:ascii="Arial" w:cs="Arial" w:eastAsia="Arial" w:hAnsi="Arial"/>
                  <w:sz w:val="16"/>
                  <w:szCs w:val="16"/>
                  <w:color w:val="0000EE"/>
                  <w:w w:val="91"/>
                </w:rPr>
                <w:t>Consolidated Statements of Income for the Years Ended December 31, 2008, 2007 and 2006</w:t>
              </w:r>
            </w:hyperlink>
          </w:p>
        </w:tc>
        <w:tc>
          <w:tcPr>
            <w:tcW w:w="304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73"/>
        </w:trPr>
        <w:tc>
          <w:tcPr>
            <w:tcW w:w="9100" w:type="dxa"/>
            <w:vAlign w:val="bottom"/>
            <w:gridSpan w:val="8"/>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Consolidated Statements of Shareholders’ Equity for the Years Ended December 31, 2008, 2007 and 2006</w:t>
              </w:r>
            </w:hyperlink>
          </w:p>
        </w:tc>
        <w:tc>
          <w:tcPr>
            <w:tcW w:w="23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73"/>
        </w:trPr>
        <w:tc>
          <w:tcPr>
            <w:tcW w:w="634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1"/>
              </w:rPr>
            </w:pPr>
            <w:hyperlink w:anchor="page28">
              <w:r>
                <w:rPr>
                  <w:rFonts w:ascii="Arial" w:cs="Arial" w:eastAsia="Arial" w:hAnsi="Arial"/>
                  <w:sz w:val="16"/>
                  <w:szCs w:val="16"/>
                  <w:color w:val="0000EE"/>
                  <w:w w:val="91"/>
                </w:rPr>
                <w:t>Consolidated Statements of Cash Flows for the Years Ended December 31, 2008, 2007 and 2006</w:t>
              </w:r>
            </w:hyperlink>
          </w:p>
        </w:tc>
        <w:tc>
          <w:tcPr>
            <w:tcW w:w="60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73"/>
        </w:trPr>
        <w:tc>
          <w:tcPr>
            <w:tcW w:w="2880" w:type="dxa"/>
            <w:vAlign w:val="bottom"/>
            <w:tcBorders>
              <w:bottom w:val="single" w:sz="8" w:color="0000EE"/>
            </w:tcBorders>
            <w:gridSpan w:val="2"/>
          </w:tcPr>
          <w:p>
            <w:pPr>
              <w:spacing w:after="0"/>
              <w:rPr>
                <w:rFonts w:ascii="Arial" w:cs="Arial" w:eastAsia="Arial" w:hAnsi="Arial"/>
                <w:sz w:val="16"/>
                <w:szCs w:val="16"/>
                <w:color w:val="0000EE"/>
                <w:w w:val="91"/>
              </w:rPr>
            </w:pPr>
            <w:hyperlink w:anchor="page28">
              <w:r>
                <w:rPr>
                  <w:rFonts w:ascii="Arial" w:cs="Arial" w:eastAsia="Arial" w:hAnsi="Arial"/>
                  <w:sz w:val="16"/>
                  <w:szCs w:val="16"/>
                  <w:color w:val="0000EE"/>
                  <w:w w:val="91"/>
                </w:rPr>
                <w:t>Notes to Consolidated Financial Statements</w:t>
              </w:r>
            </w:hyperlink>
          </w:p>
        </w:tc>
        <w:tc>
          <w:tcPr>
            <w:tcW w:w="6220" w:type="dxa"/>
            <w:vAlign w:val="bottom"/>
            <w:gridSpan w:val="6"/>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Shareholders of Rush Enterprises, Inc.</w:t>
      </w:r>
    </w:p>
    <w:p>
      <w:pPr>
        <w:spacing w:after="0" w:line="209" w:lineRule="exact"/>
        <w:rPr>
          <w:sz w:val="20"/>
          <w:szCs w:val="20"/>
          <w:color w:val="auto"/>
        </w:rPr>
      </w:pPr>
    </w:p>
    <w:p>
      <w:pPr>
        <w:ind w:right="500"/>
        <w:spacing w:after="0" w:line="327" w:lineRule="auto"/>
        <w:rPr>
          <w:sz w:val="20"/>
          <w:szCs w:val="20"/>
          <w:color w:val="auto"/>
        </w:rPr>
      </w:pPr>
      <w:r>
        <w:rPr>
          <w:rFonts w:ascii="Arial" w:cs="Arial" w:eastAsia="Arial" w:hAnsi="Arial"/>
          <w:sz w:val="14"/>
          <w:szCs w:val="14"/>
          <w:color w:val="auto"/>
        </w:rPr>
        <w:t>We have audited the accompanying consolidated balance sheets of Rush Enterprises, Inc. and subsidiaries (“the Company”) as of December 31, 2008 and 2007, and the related consolidated statements of income, shareholders’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127" w:lineRule="exact"/>
        <w:rPr>
          <w:sz w:val="20"/>
          <w:szCs w:val="20"/>
          <w:color w:val="auto"/>
        </w:rPr>
      </w:pPr>
    </w:p>
    <w:p>
      <w:pPr>
        <w:ind w:right="640"/>
        <w:spacing w:after="0" w:line="26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9" w:lineRule="exact"/>
        <w:rPr>
          <w:sz w:val="20"/>
          <w:szCs w:val="20"/>
          <w:color w:val="auto"/>
        </w:rPr>
      </w:pPr>
    </w:p>
    <w:p>
      <w:pPr>
        <w:jc w:val="both"/>
        <w:ind w:right="980"/>
        <w:spacing w:after="0" w:line="27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Rush Enterprises, Inc. and subsidiaries at December 31, 2008 and 2007, and the consolidated results of their operations and their cash flows for each of the three years in the period ended December 31, 2008, in conformity with U.S. generally accepted accounting principles.</w:t>
      </w:r>
    </w:p>
    <w:p>
      <w:pPr>
        <w:spacing w:after="0" w:line="162" w:lineRule="exact"/>
        <w:rPr>
          <w:sz w:val="20"/>
          <w:szCs w:val="20"/>
          <w:color w:val="auto"/>
        </w:rPr>
      </w:pPr>
    </w:p>
    <w:p>
      <w:pPr>
        <w:ind w:right="1000"/>
        <w:spacing w:after="0" w:line="286" w:lineRule="auto"/>
        <w:rPr>
          <w:sz w:val="20"/>
          <w:szCs w:val="20"/>
          <w:color w:val="auto"/>
        </w:rPr>
      </w:pPr>
      <w:r>
        <w:rPr>
          <w:rFonts w:ascii="Arial" w:cs="Arial" w:eastAsia="Arial" w:hAnsi="Arial"/>
          <w:sz w:val="16"/>
          <w:szCs w:val="16"/>
          <w:color w:val="auto"/>
        </w:rPr>
        <w:t>As discussed in Note 2 to the financial statements, in 2006 the Company changed its method of accounting for share based payments and in 2007 the Company changed its method for accounting for income taxes.</w:t>
      </w:r>
    </w:p>
    <w:p>
      <w:pPr>
        <w:spacing w:after="0" w:line="150" w:lineRule="exact"/>
        <w:rPr>
          <w:sz w:val="20"/>
          <w:szCs w:val="20"/>
          <w:color w:val="auto"/>
        </w:rPr>
      </w:pPr>
    </w:p>
    <w:p>
      <w:pPr>
        <w:ind w:right="620"/>
        <w:spacing w:after="0" w:line="27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Rush Enterprises, Inc.’s internal control over financial reporting as of December 31, 2008, based on criteria established in Internal Control-Integrated Framework issued by the Committee of Sponsoring Organizations of the Treadway Commission and our report dated March 10, 2009 expressed an unqualified opinion thereon.</w:t>
      </w:r>
    </w:p>
    <w:p>
      <w:pPr>
        <w:spacing w:after="0" w:line="16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11420"/>
          </w:cols>
          <w:pgMar w:left="240" w:top="323" w:right="239" w:bottom="0" w:gutter="0" w:footer="0" w:header="0"/>
        </w:sectPr>
      </w:pPr>
    </w:p>
    <w:bookmarkStart w:id="25" w:name="page26"/>
    <w:bookmarkEnd w:id="25"/>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10, 2009</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CONSOLIDATED BALANCE SHEETS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Shares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40" w:type="dxa"/>
            <w:vAlign w:val="bottom"/>
            <w:tcBorders>
              <w:bottom w:val="single" w:sz="8" w:color="CCEEFF"/>
            </w:tcBorders>
          </w:tcPr>
          <w:p>
            <w:pPr>
              <w:spacing w:after="0"/>
              <w:rPr>
                <w:sz w:val="11"/>
                <w:szCs w:val="11"/>
                <w:color w:val="auto"/>
              </w:rPr>
            </w:pPr>
          </w:p>
        </w:tc>
        <w:tc>
          <w:tcPr>
            <w:tcW w:w="2040" w:type="dxa"/>
            <w:vAlign w:val="bottom"/>
            <w:tcBorders>
              <w:bottom w:val="single" w:sz="8" w:color="CCEEFF"/>
            </w:tcBorders>
          </w:tcPr>
          <w:p>
            <w:pPr>
              <w:spacing w:after="0"/>
              <w:rPr>
                <w:sz w:val="11"/>
                <w:szCs w:val="11"/>
                <w:color w:val="auto"/>
              </w:rPr>
            </w:pPr>
          </w:p>
        </w:tc>
        <w:tc>
          <w:tcPr>
            <w:tcW w:w="62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9"/>
              <w:spacing w:after="0" w:line="128" w:lineRule="exact"/>
              <w:rPr>
                <w:sz w:val="20"/>
                <w:szCs w:val="20"/>
                <w:color w:val="auto"/>
              </w:rPr>
            </w:pPr>
            <w:r>
              <w:rPr>
                <w:rFonts w:ascii="Arial" w:cs="Arial" w:eastAsia="Arial" w:hAnsi="Arial"/>
                <w:sz w:val="13"/>
                <w:szCs w:val="13"/>
                <w:b w:val="1"/>
                <w:bCs w:val="1"/>
                <w:color w:val="auto"/>
              </w:rPr>
              <w:t>2008</w:t>
            </w:r>
          </w:p>
        </w:tc>
        <w:tc>
          <w:tcPr>
            <w:tcW w:w="2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39"/>
              <w:spacing w:after="0" w:line="128" w:lineRule="exact"/>
              <w:rPr>
                <w:sz w:val="20"/>
                <w:szCs w:val="20"/>
                <w:color w:val="auto"/>
              </w:rPr>
            </w:pPr>
            <w:r>
              <w:rPr>
                <w:rFonts w:ascii="Arial" w:cs="Arial" w:eastAsia="Arial" w:hAnsi="Arial"/>
                <w:sz w:val="13"/>
                <w:szCs w:val="13"/>
                <w:b w:val="1"/>
                <w:bCs w:val="1"/>
                <w:color w:val="auto"/>
              </w:rPr>
              <w:t>2007</w:t>
            </w:r>
          </w:p>
        </w:tc>
        <w:tc>
          <w:tcPr>
            <w:tcW w:w="24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760" w:type="dxa"/>
            <w:vAlign w:val="bottom"/>
            <w:gridSpan w:val="3"/>
            <w:shd w:val="clear" w:color="auto" w:fill="CCEEFF"/>
          </w:tcPr>
          <w:p>
            <w:pPr>
              <w:spacing w:after="0" w:line="139"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40" w:type="dxa"/>
            <w:vAlign w:val="bottom"/>
            <w:shd w:val="clear" w:color="auto" w:fill="000000"/>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6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876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146,411</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187,009</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18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7,575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48,781</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362,234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365,947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Prepaid expenses and other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Deferred income taxes, net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6,730</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7,028</w:t>
            </w:r>
          </w:p>
        </w:tc>
        <w:tc>
          <w:tcPr>
            <w:tcW w:w="24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581,593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610,464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332,147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299,013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141,904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120,582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 net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24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1,056,790</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1,031,591</w:t>
            </w:r>
          </w:p>
        </w:tc>
        <w:tc>
          <w:tcPr>
            <w:tcW w:w="24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760" w:type="dxa"/>
            <w:vAlign w:val="bottom"/>
            <w:gridSpan w:val="3"/>
          </w:tcPr>
          <w:p>
            <w:pPr>
              <w:spacing w:after="0" w:line="160" w:lineRule="exact"/>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6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180"/>
              <w:spacing w:after="0"/>
              <w:rPr>
                <w:sz w:val="20"/>
                <w:szCs w:val="20"/>
                <w:color w:val="auto"/>
              </w:rPr>
            </w:pPr>
            <w:r>
              <w:rPr>
                <w:rFonts w:ascii="Arial" w:cs="Arial" w:eastAsia="Arial" w:hAnsi="Arial"/>
                <w:sz w:val="16"/>
                <w:szCs w:val="16"/>
                <w:color w:val="auto"/>
              </w:rPr>
              <w:t>Floor plan notes payable</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282,702</w:t>
            </w:r>
          </w:p>
        </w:tc>
        <w:tc>
          <w:tcPr>
            <w:tcW w:w="26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273,653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33,593</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180"/>
              <w:spacing w:after="0"/>
              <w:rPr>
                <w:sz w:val="20"/>
                <w:szCs w:val="20"/>
                <w:color w:val="auto"/>
              </w:rPr>
            </w:pPr>
            <w:r>
              <w:rPr>
                <w:rFonts w:ascii="Arial" w:cs="Arial" w:eastAsia="Arial" w:hAnsi="Arial"/>
                <w:sz w:val="16"/>
                <w:szCs w:val="16"/>
                <w:color w:val="auto"/>
              </w:rPr>
              <w:t>Current maturities of capital lease obligations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Trade accounts payable</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40,452</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49,125</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60,517</w:t>
            </w:r>
          </w:p>
        </w:tc>
        <w:tc>
          <w:tcPr>
            <w:tcW w:w="24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404,476</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412,659</w:t>
            </w:r>
          </w:p>
        </w:tc>
        <w:tc>
          <w:tcPr>
            <w:tcW w:w="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172,011</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165,352</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spacing w:after="0"/>
              <w:rPr>
                <w:sz w:val="20"/>
                <w:szCs w:val="20"/>
                <w:color w:val="auto"/>
              </w:rPr>
            </w:pPr>
            <w:r>
              <w:rPr>
                <w:rFonts w:ascii="Arial" w:cs="Arial" w:eastAsia="Arial" w:hAnsi="Arial"/>
                <w:sz w:val="16"/>
                <w:szCs w:val="16"/>
                <w:color w:val="auto"/>
              </w:rPr>
              <w:t>Capital lease obligations, net of current maturities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11,366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13,099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 net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52,896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40,904</w:t>
            </w: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180"/>
              <w:spacing w:after="0"/>
              <w:rPr>
                <w:sz w:val="20"/>
                <w:szCs w:val="20"/>
                <w:color w:val="auto"/>
              </w:rPr>
            </w:pPr>
            <w:r>
              <w:rPr>
                <w:rFonts w:ascii="Arial" w:cs="Arial" w:eastAsia="Arial" w:hAnsi="Arial"/>
                <w:sz w:val="16"/>
                <w:szCs w:val="16"/>
                <w:color w:val="auto"/>
              </w:rPr>
              <w:t>Preferred stock, par value $.01 per share; 1,000,000 shares authorized; 0 shares outstanding in 2008 and 2007</w:t>
            </w:r>
          </w:p>
        </w:tc>
        <w:tc>
          <w:tcPr>
            <w:tcW w:w="2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97"/>
              </w:rPr>
              <w:t>Common stock, par value $.01 per share; 60,000,000 class A shares and 20,000,000 class B shares authorized; 26,327,734</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class A shares and 12,324,987 class B shares issued and 26,255,974 class A shares and 10,685,144 class B shares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outstanding in 2008; 26,070,595 class A shares and 12,265,437 class B shares issued and outstanding in 2007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183,818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178,274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Treasury stock, at cost: 1,639,843 shares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(17,948 )</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249,785</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220,920</w:t>
            </w:r>
          </w:p>
        </w:tc>
        <w:tc>
          <w:tcPr>
            <w:tcW w:w="24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7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416,041</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399,577</w:t>
            </w:r>
          </w:p>
        </w:tc>
        <w:tc>
          <w:tcPr>
            <w:tcW w:w="24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1,056,790</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1,031,591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80" w:type="dxa"/>
            <w:vAlign w:val="bottom"/>
            <w:vMerge w:val="restart"/>
          </w:tcPr>
          <w:p>
            <w:pPr>
              <w:ind w:left="380"/>
              <w:spacing w:after="0"/>
              <w:rPr>
                <w:sz w:val="20"/>
                <w:szCs w:val="20"/>
                <w:color w:val="auto"/>
              </w:rPr>
            </w:pPr>
            <w:r>
              <w:rPr>
                <w:rFonts w:ascii="Arial" w:cs="Arial" w:eastAsia="Arial" w:hAnsi="Arial"/>
                <w:sz w:val="16"/>
                <w:szCs w:val="16"/>
                <w:color w:val="auto"/>
                <w:w w:val="94"/>
              </w:rPr>
              <w:t>The accompanying notes are an integral part of these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760" w:type="dxa"/>
            <w:vAlign w:val="bottom"/>
            <w:gridSpan w:val="3"/>
          </w:tcPr>
          <w:p>
            <w:pPr>
              <w:ind w:left="564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0" w:type="dxa"/>
            <w:vAlign w:val="bottom"/>
            <w:tcBorders>
              <w:bottom w:val="single" w:sz="8" w:color="010101"/>
            </w:tcBorders>
          </w:tcPr>
          <w:p>
            <w:pPr>
              <w:spacing w:after="0"/>
              <w:rPr>
                <w:sz w:val="10"/>
                <w:szCs w:val="10"/>
                <w:color w:val="auto"/>
              </w:rPr>
            </w:pPr>
          </w:p>
        </w:tc>
        <w:tc>
          <w:tcPr>
            <w:tcW w:w="2040" w:type="dxa"/>
            <w:vAlign w:val="bottom"/>
            <w:tcBorders>
              <w:bottom w:val="single" w:sz="8" w:color="010101"/>
            </w:tcBorders>
          </w:tcPr>
          <w:p>
            <w:pPr>
              <w:spacing w:after="0"/>
              <w:rPr>
                <w:sz w:val="10"/>
                <w:szCs w:val="10"/>
                <w:color w:val="auto"/>
              </w:rPr>
            </w:pPr>
          </w:p>
        </w:tc>
        <w:tc>
          <w:tcPr>
            <w:tcW w:w="62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76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CONSOLIDATED STATEMENTS OF INCOME</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65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00"/>
              <w:spacing w:after="0" w:line="128"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00"/>
              <w:spacing w:after="0" w:line="128" w:lineRule="exact"/>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20"/>
              <w:spacing w:after="0" w:line="128" w:lineRule="exact"/>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1"/>
                <w:szCs w:val="11"/>
                <w:color w:val="auto"/>
              </w:rPr>
            </w:pPr>
          </w:p>
        </w:tc>
      </w:tr>
      <w:tr>
        <w:trPr>
          <w:trHeight w:val="189"/>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ind w:left="180"/>
              <w:spacing w:after="0"/>
              <w:rPr>
                <w:sz w:val="20"/>
                <w:szCs w:val="20"/>
                <w:color w:val="auto"/>
              </w:rPr>
            </w:pPr>
            <w:r>
              <w:rPr>
                <w:rFonts w:ascii="Arial" w:cs="Arial" w:eastAsia="Arial" w:hAnsi="Arial"/>
                <w:sz w:val="16"/>
                <w:szCs w:val="16"/>
                <w:color w:val="auto"/>
              </w:rPr>
              <w:t>New and used truck sales</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1,041,189</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1,393,253</w:t>
            </w:r>
          </w:p>
        </w:tc>
        <w:tc>
          <w:tcPr>
            <w:tcW w:w="2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1,780,418</w:t>
            </w: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Parts and service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478,439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480,611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441,424</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ind w:left="180"/>
              <w:spacing w:after="0"/>
              <w:rPr>
                <w:sz w:val="20"/>
                <w:szCs w:val="20"/>
                <w:color w:val="auto"/>
              </w:rPr>
            </w:pPr>
            <w:r>
              <w:rPr>
                <w:rFonts w:ascii="Arial" w:cs="Arial" w:eastAsia="Arial" w:hAnsi="Arial"/>
                <w:sz w:val="16"/>
                <w:szCs w:val="16"/>
                <w:color w:val="auto"/>
              </w:rPr>
              <w:t>Construction equipment sales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62,168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74,986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59,545</w:t>
            </w: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and rental</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54,813</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41,776</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ind w:left="180"/>
              <w:spacing w:after="0"/>
              <w:rPr>
                <w:sz w:val="20"/>
                <w:szCs w:val="20"/>
                <w:color w:val="auto"/>
              </w:rPr>
            </w:pPr>
            <w:r>
              <w:rPr>
                <w:rFonts w:ascii="Arial" w:cs="Arial" w:eastAsia="Arial" w:hAnsi="Arial"/>
                <w:sz w:val="16"/>
                <w:szCs w:val="16"/>
                <w:color w:val="auto"/>
              </w:rPr>
              <w:t>Finance and insurance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12,291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21,663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19,197</w:t>
            </w: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6,056</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8,163</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8,163</w:t>
            </w:r>
          </w:p>
        </w:tc>
        <w:tc>
          <w:tcPr>
            <w:tcW w:w="120" w:type="dxa"/>
            <w:vAlign w:val="bottom"/>
            <w:shd w:val="clear" w:color="auto" w:fill="CCEEFF"/>
          </w:tcPr>
          <w:p>
            <w:pPr>
              <w:spacing w:after="0"/>
              <w:rPr>
                <w:sz w:val="17"/>
                <w:szCs w:val="17"/>
                <w:color w:val="auto"/>
              </w:rPr>
            </w:pPr>
          </w:p>
        </w:tc>
      </w:tr>
      <w:tr>
        <w:trPr>
          <w:trHeight w:val="189"/>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1,654,956</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2,030,779</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2,350,523</w:t>
            </w:r>
          </w:p>
        </w:tc>
        <w:tc>
          <w:tcPr>
            <w:tcW w:w="120" w:type="dxa"/>
            <w:vAlign w:val="bottom"/>
            <w:shd w:val="clear" w:color="auto" w:fill="CCEEFF"/>
          </w:tcPr>
          <w:p>
            <w:pPr>
              <w:spacing w:after="0"/>
              <w:rPr>
                <w:sz w:val="16"/>
                <w:szCs w:val="16"/>
                <w:color w:val="auto"/>
              </w:rPr>
            </w:pPr>
          </w:p>
        </w:tc>
      </w:tr>
    </w:tbl>
    <w:p>
      <w:pPr>
        <w:sectPr>
          <w:pgSz w:w="11900" w:h="16900" w:orient="portrait"/>
          <w:cols w:equalWidth="0" w:num="1">
            <w:col w:w="11460"/>
          </w:cols>
          <w:pgMar w:left="240" w:top="127" w:right="19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products sold:</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ind w:left="180"/>
              <w:spacing w:after="0"/>
              <w:rPr>
                <w:sz w:val="20"/>
                <w:szCs w:val="20"/>
                <w:color w:val="auto"/>
              </w:rPr>
            </w:pPr>
            <w:r>
              <w:rPr>
                <w:rFonts w:ascii="Arial" w:cs="Arial" w:eastAsia="Arial" w:hAnsi="Arial"/>
                <w:sz w:val="16"/>
                <w:szCs w:val="16"/>
                <w:color w:val="auto"/>
              </w:rPr>
              <w:t>New and used truck sales</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973,404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1,283,993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1,652,913</w:t>
            </w: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Parts and service</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281,902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283,912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259,801</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ind w:left="180"/>
              <w:spacing w:after="0"/>
              <w:rPr>
                <w:sz w:val="20"/>
                <w:szCs w:val="20"/>
                <w:color w:val="auto"/>
              </w:rPr>
            </w:pPr>
            <w:r>
              <w:rPr>
                <w:rFonts w:ascii="Arial" w:cs="Arial" w:eastAsia="Arial" w:hAnsi="Arial"/>
                <w:sz w:val="16"/>
                <w:szCs w:val="16"/>
                <w:color w:val="auto"/>
              </w:rPr>
              <w:t>Construction equipment sales</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56,095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66,737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52,527</w:t>
            </w: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and rental</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46,843</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44,069</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32,615</w:t>
            </w:r>
          </w:p>
        </w:tc>
        <w:tc>
          <w:tcPr>
            <w:tcW w:w="120" w:type="dxa"/>
            <w:vAlign w:val="bottom"/>
            <w:shd w:val="clear" w:color="auto" w:fill="CCEEFF"/>
          </w:tcPr>
          <w:p>
            <w:pPr>
              <w:spacing w:after="0"/>
              <w:rPr>
                <w:sz w:val="17"/>
                <w:szCs w:val="17"/>
                <w:color w:val="auto"/>
              </w:rPr>
            </w:pPr>
          </w:p>
        </w:tc>
      </w:tr>
      <w:tr>
        <w:trPr>
          <w:trHeight w:val="189"/>
        </w:trPr>
        <w:tc>
          <w:tcPr>
            <w:tcW w:w="6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cost of products sold</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1,358,244</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1,678,711</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1,997,856</w:t>
            </w:r>
          </w:p>
        </w:tc>
        <w:tc>
          <w:tcPr>
            <w:tcW w:w="120" w:type="dxa"/>
            <w:vAlign w:val="bottom"/>
            <w:shd w:val="clear" w:color="auto" w:fill="CCEEFF"/>
          </w:tcPr>
          <w:p>
            <w:pPr>
              <w:spacing w:after="0"/>
              <w:rPr>
                <w:sz w:val="17"/>
                <w:szCs w:val="17"/>
                <w:color w:val="auto"/>
              </w:rPr>
            </w:pPr>
          </w:p>
        </w:tc>
      </w:tr>
      <w:tr>
        <w:trPr>
          <w:trHeight w:val="189"/>
        </w:trPr>
        <w:tc>
          <w:tcPr>
            <w:tcW w:w="6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352,068</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352,667</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228,057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240,661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230,056</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15,878</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14,935</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shd w:val="clear" w:color="auto" w:fill="CCEEFF"/>
          </w:tcPr>
          <w:p>
            <w:pPr>
              <w:spacing w:after="0"/>
              <w:rPr>
                <w:sz w:val="17"/>
                <w:szCs w:val="17"/>
                <w:color w:val="auto"/>
              </w:rPr>
            </w:pPr>
          </w:p>
        </w:tc>
      </w:tr>
      <w:tr>
        <w:trPr>
          <w:trHeight w:val="189"/>
        </w:trPr>
        <w:tc>
          <w:tcPr>
            <w:tcW w:w="6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96,472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109,722</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2,162</w:t>
            </w: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(10,466 )</w:t>
            </w: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(17,749 )</w:t>
            </w: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(17,880 )</w:t>
            </w:r>
          </w:p>
        </w:tc>
      </w:tr>
      <w:tr>
        <w:trPr>
          <w:trHeight w:val="189"/>
        </w:trPr>
        <w:tc>
          <w:tcPr>
            <w:tcW w:w="65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interest expense, net</w:t>
            </w: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(7,830 )</w:t>
            </w: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(14,909 )</w:t>
            </w: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(15,718 )</w:t>
            </w:r>
          </w:p>
        </w:tc>
      </w:tr>
      <w:tr>
        <w:trPr>
          <w:trHeight w:val="196"/>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assets, net</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7"/>
                <w:szCs w:val="17"/>
                <w:color w:val="auto"/>
              </w:rPr>
            </w:pPr>
          </w:p>
        </w:tc>
      </w:tr>
      <w:tr>
        <w:trPr>
          <w:trHeight w:val="189"/>
        </w:trPr>
        <w:tc>
          <w:tcPr>
            <w:tcW w:w="6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taxes</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94,058</w:t>
            </w:r>
          </w:p>
        </w:tc>
        <w:tc>
          <w:tcPr>
            <w:tcW w:w="120" w:type="dxa"/>
            <w:vAlign w:val="bottom"/>
            <w:shd w:val="clear" w:color="auto" w:fill="CCEEFF"/>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16,222</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30,310</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35,272</w:t>
            </w:r>
          </w:p>
        </w:tc>
        <w:tc>
          <w:tcPr>
            <w:tcW w:w="120" w:type="dxa"/>
            <w:vAlign w:val="bottom"/>
            <w:shd w:val="clear" w:color="auto" w:fill="CCEEFF"/>
          </w:tcPr>
          <w:p>
            <w:pPr>
              <w:spacing w:after="0"/>
              <w:rPr>
                <w:sz w:val="17"/>
                <w:szCs w:val="17"/>
                <w:color w:val="auto"/>
              </w:rPr>
            </w:pPr>
          </w:p>
        </w:tc>
      </w:tr>
      <w:tr>
        <w:trPr>
          <w:trHeight w:val="189"/>
        </w:trPr>
        <w:tc>
          <w:tcPr>
            <w:tcW w:w="6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4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28,865</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51,492</w:t>
            </w: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6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6"/>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0"/>
                <w:szCs w:val="20"/>
                <w:color w:val="auto"/>
              </w:rPr>
            </w:pPr>
          </w:p>
        </w:tc>
      </w:tr>
      <w:tr>
        <w:trPr>
          <w:trHeight w:val="173"/>
        </w:trPr>
        <w:tc>
          <w:tcPr>
            <w:tcW w:w="6560" w:type="dxa"/>
            <w:vAlign w:val="bottom"/>
            <w:tcBorders>
              <w:bottom w:val="single" w:sz="8" w:color="CCEEFF"/>
            </w:tcBorders>
            <w:shd w:val="clear" w:color="auto" w:fill="CCEEFF"/>
          </w:tcPr>
          <w:p>
            <w:pPr>
              <w:ind w:left="180"/>
              <w:spacing w:after="0" w:line="173" w:lineRule="exact"/>
              <w:rPr>
                <w:sz w:val="20"/>
                <w:szCs w:val="20"/>
                <w:color w:val="auto"/>
              </w:rPr>
            </w:pPr>
            <w:r>
              <w:rPr>
                <w:rFonts w:ascii="Arial" w:cs="Arial" w:eastAsia="Arial" w:hAnsi="Arial"/>
                <w:sz w:val="16"/>
                <w:szCs w:val="16"/>
                <w:color w:val="auto"/>
              </w:rPr>
              <w:t>Diluted</w:t>
            </w:r>
          </w:p>
        </w:tc>
        <w:tc>
          <w:tcPr>
            <w:tcW w:w="440" w:type="dxa"/>
            <w:vAlign w:val="bottom"/>
            <w:tcBorders>
              <w:bottom w:val="single" w:sz="8" w:color="auto"/>
            </w:tcBorders>
            <w:shd w:val="clear" w:color="auto" w:fill="CCEEFF"/>
          </w:tcPr>
          <w:p>
            <w:pPr>
              <w:jc w:val="right"/>
              <w:ind w:right="258"/>
              <w:spacing w:after="0" w:line="17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0.75</w:t>
            </w: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1.33</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CONSOLIDATED STATEMENTS OF SHAREHOLDERS’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2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Common Stock</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4000" w:type="dxa"/>
            <w:vAlign w:val="bottom"/>
          </w:tcPr>
          <w:p>
            <w:pPr>
              <w:spacing w:after="0"/>
              <w:rPr>
                <w:sz w:val="11"/>
                <w:szCs w:val="11"/>
                <w:color w:val="auto"/>
              </w:rPr>
            </w:pPr>
          </w:p>
        </w:tc>
        <w:tc>
          <w:tcPr>
            <w:tcW w:w="216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Shares Issued and</w:t>
            </w:r>
          </w:p>
        </w:tc>
        <w:tc>
          <w:tcPr>
            <w:tcW w:w="200" w:type="dxa"/>
            <w:vAlign w:val="bottom"/>
          </w:tcPr>
          <w:p>
            <w:pPr>
              <w:spacing w:after="0"/>
              <w:rPr>
                <w:sz w:val="11"/>
                <w:szCs w:val="11"/>
                <w:color w:val="auto"/>
              </w:rPr>
            </w:pPr>
          </w:p>
        </w:tc>
        <w:tc>
          <w:tcPr>
            <w:tcW w:w="700" w:type="dxa"/>
            <w:vAlign w:val="bottom"/>
          </w:tcPr>
          <w:p>
            <w:pPr>
              <w:jc w:val="center"/>
              <w:ind w:right="121"/>
              <w:spacing w:after="0" w:line="135" w:lineRule="exact"/>
              <w:rPr>
                <w:sz w:val="20"/>
                <w:szCs w:val="20"/>
                <w:color w:val="auto"/>
              </w:rPr>
            </w:pPr>
            <w:r>
              <w:rPr>
                <w:rFonts w:ascii="Arial" w:cs="Arial" w:eastAsia="Arial" w:hAnsi="Arial"/>
                <w:sz w:val="13"/>
                <w:szCs w:val="13"/>
                <w:b w:val="1"/>
                <w:bCs w:val="1"/>
                <w:color w:val="auto"/>
                <w:w w:val="92"/>
              </w:rPr>
              <w:t>$0.01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5"/>
        </w:trPr>
        <w:tc>
          <w:tcPr>
            <w:tcW w:w="4000" w:type="dxa"/>
            <w:vAlign w:val="bottom"/>
          </w:tcPr>
          <w:p>
            <w:pPr>
              <w:spacing w:after="0"/>
              <w:rPr>
                <w:sz w:val="13"/>
                <w:szCs w:val="13"/>
                <w:color w:val="auto"/>
              </w:rPr>
            </w:pPr>
          </w:p>
        </w:tc>
        <w:tc>
          <w:tcPr>
            <w:tcW w:w="2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20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8"/>
              </w:rPr>
              <w:t>Treasury</w:t>
            </w:r>
          </w:p>
        </w:tc>
        <w:tc>
          <w:tcPr>
            <w:tcW w:w="1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7"/>
        </w:trPr>
        <w:tc>
          <w:tcPr>
            <w:tcW w:w="4000" w:type="dxa"/>
            <w:vAlign w:val="bottom"/>
          </w:tcPr>
          <w:p>
            <w:pPr>
              <w:spacing w:after="0"/>
              <w:rPr>
                <w:sz w:val="11"/>
                <w:szCs w:val="11"/>
                <w:color w:val="auto"/>
              </w:rPr>
            </w:pPr>
          </w:p>
        </w:tc>
        <w:tc>
          <w:tcPr>
            <w:tcW w:w="1080" w:type="dxa"/>
            <w:vAlign w:val="bottom"/>
            <w:tcBorders>
              <w:top w:val="single" w:sz="8" w:color="auto"/>
            </w:tcBorders>
            <w:gridSpan w:val="2"/>
          </w:tcPr>
          <w:p>
            <w:pPr>
              <w:ind w:left="240"/>
              <w:spacing w:after="0" w:line="128" w:lineRule="exact"/>
              <w:rPr>
                <w:sz w:val="20"/>
                <w:szCs w:val="20"/>
                <w:color w:val="auto"/>
              </w:rPr>
            </w:pPr>
            <w:r>
              <w:rPr>
                <w:rFonts w:ascii="Arial" w:cs="Arial" w:eastAsia="Arial" w:hAnsi="Arial"/>
                <w:sz w:val="13"/>
                <w:szCs w:val="13"/>
                <w:b w:val="1"/>
                <w:bCs w:val="1"/>
                <w:color w:val="auto"/>
              </w:rPr>
              <w:t>Class A</w:t>
            </w:r>
          </w:p>
        </w:tc>
        <w:tc>
          <w:tcPr>
            <w:tcW w:w="900" w:type="dxa"/>
            <w:vAlign w:val="bottom"/>
            <w:tcBorders>
              <w:top w:val="single" w:sz="8" w:color="auto"/>
            </w:tcBorders>
          </w:tcPr>
          <w:p>
            <w:pPr>
              <w:jc w:val="right"/>
              <w:ind w:right="159"/>
              <w:spacing w:after="0" w:line="128" w:lineRule="exact"/>
              <w:rPr>
                <w:sz w:val="20"/>
                <w:szCs w:val="20"/>
                <w:color w:val="auto"/>
              </w:rPr>
            </w:pPr>
            <w:r>
              <w:rPr>
                <w:rFonts w:ascii="Arial" w:cs="Arial" w:eastAsia="Arial" w:hAnsi="Arial"/>
                <w:sz w:val="13"/>
                <w:szCs w:val="13"/>
                <w:b w:val="1"/>
                <w:bCs w:val="1"/>
                <w:color w:val="auto"/>
              </w:rPr>
              <w:t>Class B</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1"/>
                <w:szCs w:val="11"/>
                <w:color w:val="auto"/>
              </w:rPr>
            </w:pPr>
          </w:p>
        </w:tc>
        <w:tc>
          <w:tcPr>
            <w:tcW w:w="920" w:type="dxa"/>
            <w:vAlign w:val="bottom"/>
            <w:gridSpan w:val="2"/>
          </w:tcPr>
          <w:p>
            <w:pPr>
              <w:jc w:val="right"/>
              <w:ind w:right="460"/>
              <w:spacing w:after="0" w:line="128"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1"/>
                <w:szCs w:val="11"/>
                <w:color w:val="auto"/>
              </w:rPr>
            </w:pPr>
          </w:p>
        </w:tc>
        <w:tc>
          <w:tcPr>
            <w:tcW w:w="900" w:type="dxa"/>
            <w:vAlign w:val="bottom"/>
            <w:gridSpan w:val="2"/>
          </w:tcPr>
          <w:p>
            <w:pPr>
              <w:jc w:val="right"/>
              <w:ind w:right="360"/>
              <w:spacing w:after="0" w:line="128" w:lineRule="exact"/>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1"/>
                <w:szCs w:val="11"/>
                <w:color w:val="auto"/>
              </w:rPr>
            </w:pPr>
          </w:p>
        </w:tc>
        <w:tc>
          <w:tcPr>
            <w:tcW w:w="840" w:type="dxa"/>
            <w:vAlign w:val="bottom"/>
            <w:gridSpan w:val="2"/>
          </w:tcPr>
          <w:p>
            <w:pPr>
              <w:jc w:val="right"/>
              <w:ind w:right="440"/>
              <w:spacing w:after="0" w:line="128" w:lineRule="exact"/>
              <w:rPr>
                <w:sz w:val="20"/>
                <w:szCs w:val="20"/>
                <w:color w:val="auto"/>
              </w:rPr>
            </w:pPr>
            <w:r>
              <w:rPr>
                <w:rFonts w:ascii="Arial" w:cs="Arial" w:eastAsia="Arial" w:hAnsi="Arial"/>
                <w:sz w:val="13"/>
                <w:szCs w:val="13"/>
                <w:b w:val="1"/>
                <w:bCs w:val="1"/>
                <w:color w:val="auto"/>
              </w:rPr>
              <w:t>Total</w:t>
            </w:r>
          </w:p>
        </w:tc>
      </w:tr>
      <w:tr>
        <w:trPr>
          <w:trHeight w:val="189"/>
        </w:trPr>
        <w:tc>
          <w:tcPr>
            <w:tcW w:w="40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2005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25,155</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273,620</w:t>
            </w:r>
          </w:p>
        </w:tc>
        <w:tc>
          <w:tcPr>
            <w:tcW w:w="14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(including tax benefit of $2,349)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40" w:type="dxa"/>
            <w:vAlign w:val="bottom"/>
            <w:shd w:val="clear" w:color="auto" w:fill="CCEEFF"/>
          </w:tcPr>
          <w:p>
            <w:pPr>
              <w:spacing w:after="0"/>
              <w:rPr>
                <w:sz w:val="17"/>
                <w:szCs w:val="17"/>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Stock-based compensation related to stock options and</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6"/>
                <w:szCs w:val="16"/>
                <w:color w:val="auto"/>
              </w:rPr>
              <w:t>employee stock purchase plan</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2,647</w:t>
            </w:r>
          </w:p>
        </w:tc>
        <w:tc>
          <w:tcPr>
            <w:tcW w:w="140" w:type="dxa"/>
            <w:vAlign w:val="bottom"/>
          </w:tcPr>
          <w:p>
            <w:pPr>
              <w:spacing w:after="0"/>
              <w:rPr>
                <w:sz w:val="18"/>
                <w:szCs w:val="18"/>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employee stock</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9"/>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40" w:type="dxa"/>
            <w:vAlign w:val="bottom"/>
            <w:shd w:val="clear" w:color="auto" w:fill="CCEEFF"/>
          </w:tcPr>
          <w:p>
            <w:pPr>
              <w:spacing w:after="0"/>
              <w:rPr>
                <w:sz w:val="18"/>
                <w:szCs w:val="18"/>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58,786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58,786</w:t>
            </w:r>
          </w:p>
        </w:tc>
        <w:tc>
          <w:tcPr>
            <w:tcW w:w="140" w:type="dxa"/>
            <w:vAlign w:val="bottom"/>
          </w:tcPr>
          <w:p>
            <w:pPr>
              <w:spacing w:after="0"/>
              <w:rPr>
                <w:sz w:val="17"/>
                <w:szCs w:val="17"/>
                <w:color w:val="auto"/>
              </w:rPr>
            </w:pPr>
          </w:p>
        </w:tc>
      </w:tr>
      <w:tr>
        <w:trPr>
          <w:trHeight w:val="189"/>
        </w:trPr>
        <w:tc>
          <w:tcPr>
            <w:tcW w:w="40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b w:val="1"/>
                <w:bCs w:val="1"/>
                <w:color w:val="auto"/>
              </w:rPr>
              <w:t>Balance, December 31, 2006</w:t>
            </w:r>
          </w:p>
        </w:tc>
        <w:tc>
          <w:tcPr>
            <w:tcW w:w="900" w:type="dxa"/>
            <w:vAlign w:val="bottom"/>
          </w:tcPr>
          <w:p>
            <w:pPr>
              <w:jc w:val="right"/>
              <w:spacing w:after="0"/>
              <w:rPr>
                <w:sz w:val="20"/>
                <w:szCs w:val="20"/>
                <w:color w:val="auto"/>
              </w:rPr>
            </w:pPr>
            <w:r>
              <w:rPr>
                <w:rFonts w:ascii="Arial" w:cs="Arial" w:eastAsia="Arial" w:hAnsi="Arial"/>
                <w:sz w:val="16"/>
                <w:szCs w:val="16"/>
                <w:color w:val="auto"/>
              </w:rPr>
              <w:t>25,604</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169,801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169,556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339,608</w:t>
            </w:r>
          </w:p>
        </w:tc>
        <w:tc>
          <w:tcPr>
            <w:tcW w:w="140" w:type="dxa"/>
            <w:vAlign w:val="bottom"/>
          </w:tcPr>
          <w:p>
            <w:pPr>
              <w:spacing w:after="0"/>
              <w:rPr>
                <w:sz w:val="17"/>
                <w:szCs w:val="17"/>
                <w:color w:val="auto"/>
              </w:rPr>
            </w:pPr>
          </w:p>
        </w:tc>
      </w:tr>
      <w:tr>
        <w:trPr>
          <w:trHeight w:val="196"/>
        </w:trPr>
        <w:tc>
          <w:tcPr>
            <w:tcW w:w="4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Stock options exercised (including tax benefit of $2,239)</w:t>
            </w:r>
          </w:p>
        </w:tc>
        <w:tc>
          <w:tcPr>
            <w:tcW w:w="900" w:type="dxa"/>
            <w:vAlign w:val="bottom"/>
          </w:tcPr>
          <w:p>
            <w:pPr>
              <w:jc w:val="right"/>
              <w:spacing w:after="0"/>
              <w:rPr>
                <w:sz w:val="20"/>
                <w:szCs w:val="20"/>
                <w:color w:val="auto"/>
              </w:rPr>
            </w:pPr>
            <w:r>
              <w:rPr>
                <w:rFonts w:ascii="Arial" w:cs="Arial" w:eastAsia="Arial" w:hAnsi="Arial"/>
                <w:sz w:val="16"/>
                <w:szCs w:val="16"/>
                <w:color w:val="auto"/>
              </w:rPr>
              <w:t>408</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4,459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4,463</w:t>
            </w:r>
          </w:p>
        </w:tc>
        <w:tc>
          <w:tcPr>
            <w:tcW w:w="140" w:type="dxa"/>
            <w:vAlign w:val="bottom"/>
          </w:tcPr>
          <w:p>
            <w:pPr>
              <w:spacing w:after="0"/>
              <w:rPr>
                <w:sz w:val="17"/>
                <w:szCs w:val="17"/>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 options and</w:t>
            </w: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9"/>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140" w:type="dxa"/>
            <w:vAlign w:val="bottom"/>
            <w:shd w:val="clear" w:color="auto" w:fill="CCEEFF"/>
          </w:tcPr>
          <w:p>
            <w:pPr>
              <w:spacing w:after="0"/>
              <w:rPr>
                <w:sz w:val="18"/>
                <w:szCs w:val="18"/>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Issuance of common stock under employee stock</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572</w:t>
            </w:r>
          </w:p>
        </w:tc>
        <w:tc>
          <w:tcPr>
            <w:tcW w:w="140" w:type="dxa"/>
            <w:vAlign w:val="bottom"/>
          </w:tcPr>
          <w:p>
            <w:pPr>
              <w:spacing w:after="0"/>
              <w:rPr>
                <w:sz w:val="18"/>
                <w:szCs w:val="18"/>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 dividend (50%)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(128 )</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51,492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51,492</w:t>
            </w:r>
          </w:p>
        </w:tc>
        <w:tc>
          <w:tcPr>
            <w:tcW w:w="140" w:type="dxa"/>
            <w:vAlign w:val="bottom"/>
          </w:tcPr>
          <w:p>
            <w:pPr>
              <w:spacing w:after="0"/>
              <w:rPr>
                <w:sz w:val="17"/>
                <w:szCs w:val="17"/>
                <w:color w:val="auto"/>
              </w:rPr>
            </w:pPr>
          </w:p>
        </w:tc>
      </w:tr>
      <w:tr>
        <w:trPr>
          <w:trHeight w:val="189"/>
        </w:trPr>
        <w:tc>
          <w:tcPr>
            <w:tcW w:w="40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b w:val="1"/>
                <w:bCs w:val="1"/>
                <w:color w:val="auto"/>
              </w:rPr>
              <w:t>Balance, December 31, 2007</w:t>
            </w:r>
          </w:p>
        </w:tc>
        <w:tc>
          <w:tcPr>
            <w:tcW w:w="900" w:type="dxa"/>
            <w:vAlign w:val="bottom"/>
          </w:tcPr>
          <w:p>
            <w:pPr>
              <w:jc w:val="right"/>
              <w:spacing w:after="0"/>
              <w:rPr>
                <w:sz w:val="20"/>
                <w:szCs w:val="20"/>
                <w:color w:val="auto"/>
              </w:rPr>
            </w:pPr>
            <w:r>
              <w:rPr>
                <w:rFonts w:ascii="Arial" w:cs="Arial" w:eastAsia="Arial" w:hAnsi="Arial"/>
                <w:sz w:val="16"/>
                <w:szCs w:val="16"/>
                <w:color w:val="auto"/>
              </w:rPr>
              <w:t>26,071</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12,265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178,274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220,920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399,577</w:t>
            </w:r>
          </w:p>
        </w:tc>
        <w:tc>
          <w:tcPr>
            <w:tcW w:w="140" w:type="dxa"/>
            <w:vAlign w:val="bottom"/>
          </w:tcPr>
          <w:p>
            <w:pPr>
              <w:spacing w:after="0"/>
              <w:rPr>
                <w:sz w:val="17"/>
                <w:szCs w:val="17"/>
                <w:color w:val="auto"/>
              </w:rPr>
            </w:pPr>
          </w:p>
        </w:tc>
      </w:tr>
      <w:tr>
        <w:trPr>
          <w:trHeight w:val="196"/>
        </w:trPr>
        <w:tc>
          <w:tcPr>
            <w:tcW w:w="4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Stock options exercised (including tax benefit of $791)</w:t>
            </w:r>
          </w:p>
        </w:tc>
        <w:tc>
          <w:tcPr>
            <w:tcW w:w="900" w:type="dxa"/>
            <w:vAlign w:val="bottom"/>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1,297</w:t>
            </w:r>
          </w:p>
        </w:tc>
        <w:tc>
          <w:tcPr>
            <w:tcW w:w="140" w:type="dxa"/>
            <w:vAlign w:val="bottom"/>
          </w:tcPr>
          <w:p>
            <w:pPr>
              <w:spacing w:after="0"/>
              <w:rPr>
                <w:sz w:val="17"/>
                <w:szCs w:val="17"/>
                <w:color w:val="auto"/>
              </w:rPr>
            </w:pPr>
          </w:p>
        </w:tc>
      </w:tr>
      <w:tr>
        <w:trPr>
          <w:trHeight w:val="184"/>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related to stock options and</w:t>
            </w: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9"/>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40" w:type="dxa"/>
            <w:vAlign w:val="bottom"/>
            <w:shd w:val="clear" w:color="auto" w:fill="CCEEFF"/>
          </w:tcPr>
          <w:p>
            <w:pPr>
              <w:spacing w:after="0"/>
              <w:rPr>
                <w:sz w:val="18"/>
                <w:szCs w:val="18"/>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6"/>
                <w:szCs w:val="16"/>
                <w:color w:val="auto"/>
              </w:rPr>
              <w:t>Issuance of common stock under employee stock</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618</w:t>
            </w:r>
          </w:p>
        </w:tc>
        <w:tc>
          <w:tcPr>
            <w:tcW w:w="140" w:type="dxa"/>
            <w:vAlign w:val="bottom"/>
          </w:tcPr>
          <w:p>
            <w:pPr>
              <w:spacing w:after="0"/>
              <w:rPr>
                <w:sz w:val="18"/>
                <w:szCs w:val="18"/>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Common stock repurchases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(17,948 )</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(17,948 )</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28,865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28,865</w:t>
            </w:r>
          </w:p>
        </w:tc>
        <w:tc>
          <w:tcPr>
            <w:tcW w:w="140" w:type="dxa"/>
            <w:vAlign w:val="bottom"/>
          </w:tcPr>
          <w:p>
            <w:pPr>
              <w:spacing w:after="0"/>
              <w:rPr>
                <w:sz w:val="17"/>
                <w:szCs w:val="17"/>
                <w:color w:val="auto"/>
              </w:rPr>
            </w:pPr>
          </w:p>
        </w:tc>
      </w:tr>
      <w:tr>
        <w:trPr>
          <w:trHeight w:val="189"/>
        </w:trPr>
        <w:tc>
          <w:tcPr>
            <w:tcW w:w="40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6"/>
                <w:szCs w:val="16"/>
                <w:b w:val="1"/>
                <w:bCs w:val="1"/>
                <w:color w:val="auto"/>
              </w:rPr>
              <w:t>Balance, December 31, 2008</w:t>
            </w:r>
          </w:p>
        </w:tc>
        <w:tc>
          <w:tcPr>
            <w:tcW w:w="900" w:type="dxa"/>
            <w:vAlign w:val="bottom"/>
          </w:tcPr>
          <w:p>
            <w:pPr>
              <w:jc w:val="right"/>
              <w:spacing w:after="0"/>
              <w:rPr>
                <w:sz w:val="20"/>
                <w:szCs w:val="20"/>
                <w:color w:val="auto"/>
              </w:rPr>
            </w:pPr>
            <w:r>
              <w:rPr>
                <w:rFonts w:ascii="Arial" w:cs="Arial" w:eastAsia="Arial" w:hAnsi="Arial"/>
                <w:sz w:val="16"/>
                <w:szCs w:val="16"/>
                <w:color w:val="auto"/>
              </w:rPr>
              <w:t>26,256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12,280</w:t>
            </w:r>
          </w:p>
        </w:tc>
        <w:tc>
          <w:tcPr>
            <w:tcW w:w="1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183,818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(17,948 )</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249,785</w:t>
            </w:r>
          </w:p>
        </w:tc>
        <w:tc>
          <w:tcPr>
            <w:tcW w:w="16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416,041</w:t>
            </w:r>
          </w:p>
        </w:tc>
        <w:tc>
          <w:tcPr>
            <w:tcW w:w="14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336" w:right="239" w:bottom="0" w:gutter="0" w:footer="0" w:header="0"/>
        </w:sectPr>
      </w:pPr>
    </w:p>
    <w:bookmarkStart w:id="27" w:name="page28"/>
    <w:bookmarkEnd w:id="27"/>
    <w:p>
      <w:pPr>
        <w:spacing w:after="0" w:line="11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CONSOLIDATED STATEMENTS OF CASH FLOWS</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(In Thousands)</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7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9"/>
              <w:spacing w:after="0" w:line="128" w:lineRule="exact"/>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9"/>
              <w:spacing w:after="0" w:line="128" w:lineRule="exact"/>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9"/>
              <w:spacing w:after="0" w:line="128" w:lineRule="exact"/>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28,865</w:t>
            </w:r>
          </w:p>
        </w:tc>
        <w:tc>
          <w:tcPr>
            <w:tcW w:w="24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51,492</w:t>
            </w:r>
          </w:p>
        </w:tc>
        <w:tc>
          <w:tcPr>
            <w:tcW w:w="2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58,786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used in operating activities, net of acquisitions-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38,508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property and equipment, net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(276 )</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(239 )</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(825 )</w:t>
            </w:r>
          </w:p>
        </w:tc>
        <w:tc>
          <w:tcPr>
            <w:tcW w:w="0" w:type="dxa"/>
            <w:vAlign w:val="bottom"/>
          </w:tcPr>
          <w:p>
            <w:pPr>
              <w:spacing w:after="0"/>
              <w:rPr>
                <w:sz w:val="1"/>
                <w:szCs w:val="1"/>
                <w:color w:val="auto"/>
              </w:rPr>
            </w:pPr>
          </w:p>
        </w:tc>
      </w:tr>
      <w:tr>
        <w:trPr>
          <w:trHeight w:val="196"/>
        </w:trPr>
        <w:tc>
          <w:tcPr>
            <w:tcW w:w="7680" w:type="dxa"/>
            <w:vAlign w:val="bottom"/>
          </w:tcPr>
          <w:p>
            <w:pPr>
              <w:ind w:left="340"/>
              <w:spacing w:after="0"/>
              <w:rPr>
                <w:sz w:val="20"/>
                <w:szCs w:val="20"/>
                <w:color w:val="auto"/>
              </w:rPr>
            </w:pPr>
            <w:r>
              <w:rPr>
                <w:rFonts w:ascii="Arial" w:cs="Arial" w:eastAsia="Arial" w:hAnsi="Arial"/>
                <w:sz w:val="16"/>
                <w:szCs w:val="16"/>
                <w:color w:val="auto"/>
              </w:rPr>
              <w:t>Stock-based compensation expense related to employee stock options and employee stock purchases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deferred income tax expense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4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(791 )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(2,239 )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(2,349 )</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accounts receivable, net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(4,821 )</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(10,133 )</w:t>
            </w:r>
          </w:p>
        </w:tc>
        <w:tc>
          <w:tcPr>
            <w:tcW w:w="0" w:type="dxa"/>
            <w:vAlign w:val="bottom"/>
          </w:tcPr>
          <w:p>
            <w:pPr>
              <w:spacing w:after="0"/>
              <w:rPr>
                <w:sz w:val="1"/>
                <w:szCs w:val="1"/>
                <w:color w:val="auto"/>
              </w:rPr>
            </w:pPr>
          </w:p>
        </w:tc>
      </w:tr>
      <w:tr>
        <w:trPr>
          <w:trHeight w:val="196"/>
        </w:trPr>
        <w:tc>
          <w:tcPr>
            <w:tcW w:w="7680" w:type="dxa"/>
            <w:vAlign w:val="bottom"/>
          </w:tcPr>
          <w:p>
            <w:pPr>
              <w:ind w:left="340"/>
              <w:spacing w:after="0"/>
              <w:rPr>
                <w:sz w:val="20"/>
                <w:szCs w:val="20"/>
                <w:color w:val="auto"/>
              </w:rPr>
            </w:pPr>
            <w:r>
              <w:rPr>
                <w:rFonts w:ascii="Arial" w:cs="Arial" w:eastAsia="Arial" w:hAnsi="Arial"/>
                <w:sz w:val="16"/>
                <w:szCs w:val="16"/>
                <w:color w:val="auto"/>
              </w:rPr>
              <w:t>Change in inventories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30,057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132,357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(114,380 )</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prepaid expenses and other, net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(1,670 )</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196"/>
        </w:trPr>
        <w:tc>
          <w:tcPr>
            <w:tcW w:w="7680" w:type="dxa"/>
            <w:vAlign w:val="bottom"/>
          </w:tcPr>
          <w:p>
            <w:pPr>
              <w:ind w:left="340"/>
              <w:spacing w:after="0"/>
              <w:rPr>
                <w:sz w:val="20"/>
                <w:szCs w:val="20"/>
                <w:color w:val="auto"/>
              </w:rPr>
            </w:pPr>
            <w:r>
              <w:rPr>
                <w:rFonts w:ascii="Arial" w:cs="Arial" w:eastAsia="Arial" w:hAnsi="Arial"/>
                <w:sz w:val="16"/>
                <w:szCs w:val="16"/>
                <w:color w:val="auto"/>
              </w:rPr>
              <w:t>Change in trade accounts payable</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(8,922 )</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accrued expenses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(11,467 )</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83,059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258,701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(6,862 )</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Purchase of investments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(355,575 )</w:t>
            </w: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Acquisition of property and equipment</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(68,160 )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(65,268 )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(112,766 )</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 and equipment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Business acquisitions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(37,397 )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(7,866 )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(36,087 )</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(111,043 )</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(67,506 )</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(141,856 )</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(Payments) draws on floor plan notes payable,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(172,701 )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120,003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on lines of credit, net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(2,755 )</w:t>
            </w: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Proceeds from long-term debt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46,728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43,211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102,448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on long-term debt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(43,344 )</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(37,890 )</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(44,334 )</w:t>
            </w: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Payments on capital lease obligations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(5,672 )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(3,344 )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(2,512 )</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shares relating to employee stock options and employee stock purchase plan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treasury stock</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(17,948 )</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(157 )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(55 )</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189"/>
        </w:trPr>
        <w:tc>
          <w:tcPr>
            <w:tcW w:w="7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(12,614 )</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(165,744 )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177,207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(40,598 )</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25,451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28,489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year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187,009</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161,558</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133,069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end of year</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146,411</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187,009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161,558</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7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during the year for: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16,605</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23,690</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20,761</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7680" w:type="dxa"/>
            <w:vAlign w:val="bottom"/>
            <w:tcBorders>
              <w:bottom w:val="single" w:sz="8" w:color="CCEEFF"/>
            </w:tcBorders>
            <w:shd w:val="clear" w:color="auto" w:fill="CCEEFF"/>
          </w:tcPr>
          <w:p>
            <w:pPr>
              <w:ind w:left="340"/>
              <w:spacing w:after="0" w:line="173" w:lineRule="exact"/>
              <w:rPr>
                <w:sz w:val="20"/>
                <w:szCs w:val="20"/>
                <w:color w:val="auto"/>
              </w:rPr>
            </w:pPr>
            <w:r>
              <w:rPr>
                <w:rFonts w:ascii="Arial" w:cs="Arial" w:eastAsia="Arial" w:hAnsi="Arial"/>
                <w:sz w:val="16"/>
                <w:szCs w:val="16"/>
                <w:color w:val="auto"/>
              </w:rPr>
              <w:t>Income taxes, net of refunds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6,387</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18,716</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31,758</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Assets acquired under capital leases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2,949</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340"/>
              <w:spacing w:after="0"/>
              <w:rPr>
                <w:sz w:val="20"/>
                <w:szCs w:val="20"/>
                <w:color w:val="auto"/>
              </w:rPr>
            </w:pPr>
            <w:r>
              <w:rPr>
                <w:rFonts w:ascii="Arial" w:cs="Arial" w:eastAsia="Arial" w:hAnsi="Arial"/>
                <w:sz w:val="16"/>
                <w:szCs w:val="16"/>
                <w:color w:val="auto"/>
              </w:rPr>
              <w:t>Note payable related to acquisition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1,500</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RUSH ENTERPRISES, INC. AND SUBSIDIARIES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6"/>
          <w:szCs w:val="16"/>
          <w:u w:val="single" w:color="auto"/>
          <w:color w:val="auto"/>
        </w:rPr>
        <w:t>NOTES TO CONSOLIDATED FINANCIAL STATEMENTS</w:t>
      </w:r>
    </w:p>
    <w:p>
      <w:pPr>
        <w:spacing w:after="0" w:line="197" w:lineRule="exact"/>
        <w:rPr>
          <w:sz w:val="20"/>
          <w:szCs w:val="20"/>
          <w:color w:val="auto"/>
        </w:rPr>
      </w:pPr>
    </w:p>
    <w:p>
      <w:pPr>
        <w:ind w:left="402" w:hanging="402"/>
        <w:spacing w:after="0"/>
        <w:tabs>
          <w:tab w:leader="none" w:pos="40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ORGANIZATION AND OPERATIONS</w:t>
      </w:r>
      <w:r>
        <w:rPr>
          <w:rFonts w:ascii="Arial" w:cs="Arial" w:eastAsia="Arial" w:hAnsi="Arial"/>
          <w:sz w:val="16"/>
          <w:szCs w:val="16"/>
          <w:color w:val="auto"/>
        </w:rPr>
        <w:t>:</w:t>
      </w:r>
    </w:p>
    <w:p>
      <w:pPr>
        <w:spacing w:after="0" w:line="209" w:lineRule="exact"/>
        <w:rPr>
          <w:sz w:val="20"/>
          <w:szCs w:val="20"/>
          <w:color w:val="auto"/>
        </w:rPr>
      </w:pPr>
    </w:p>
    <w:p>
      <w:pPr>
        <w:ind w:left="2" w:right="120"/>
        <w:spacing w:after="0" w:line="327" w:lineRule="auto"/>
        <w:rPr>
          <w:sz w:val="20"/>
          <w:szCs w:val="20"/>
          <w:color w:val="auto"/>
        </w:rPr>
      </w:pPr>
      <w:r>
        <w:rPr>
          <w:rFonts w:ascii="Arial" w:cs="Arial" w:eastAsia="Arial" w:hAnsi="Arial"/>
          <w:sz w:val="14"/>
          <w:szCs w:val="14"/>
          <w:color w:val="auto"/>
        </w:rPr>
        <w:t>Rush Enterprises, Inc. (the “Company”) was incorporated in 1965 under the laws of the State of Texas. The Company now operates a Truck segment and a Construction Equipment segment. The Truck segment operates a regional network of Rush Truck Centers. Rush Truck Centers sell trucks manufactured by Peterbilt, Volvo, GMC, Hino, UD, Ford or Isuzu. Through its strategically located network of Rush Truck Centers, the Company provides one-stop service for the needs of its customers, including retail</w:t>
      </w:r>
    </w:p>
    <w:p>
      <w:pPr>
        <w:sectPr>
          <w:pgSz w:w="11900" w:h="16956" w:orient="portrait"/>
          <w:cols w:equalWidth="0" w:num="1">
            <w:col w:w="11422"/>
          </w:cols>
          <w:pgMar w:left="238" w:top="323" w:right="239" w:bottom="0" w:gutter="0" w:footer="0" w:header="0"/>
        </w:sectPr>
      </w:pPr>
    </w:p>
    <w:bookmarkStart w:id="28" w:name="page29"/>
    <w:bookmarkEnd w:id="28"/>
    <w:p>
      <w:pPr>
        <w:ind w:left="2" w:right="60"/>
        <w:spacing w:after="0" w:line="263" w:lineRule="auto"/>
        <w:rPr>
          <w:sz w:val="20"/>
          <w:szCs w:val="20"/>
          <w:color w:val="auto"/>
        </w:rPr>
      </w:pPr>
      <w:r>
        <w:rPr>
          <w:rFonts w:ascii="Arial" w:cs="Arial" w:eastAsia="Arial" w:hAnsi="Arial"/>
          <w:sz w:val="16"/>
          <w:szCs w:val="16"/>
          <w:color w:val="auto"/>
        </w:rPr>
        <w:t>sales of new and used trucks, aftermarket parts sales, service and repair facilities, financing, leasing and rental, and Insurance products. The Company’s truck centers are located in areas on or near major highways in Alabama, Arizona, California, Colorado, Florida, Georgia, New Mexico, North Carolina, Oklahoma, Tennessee and Texas. The Construction Equipment segment, formed in 1997, operates John Deere equipment centers in Southeast Texas. Construction equipment dealership operations include the retail sale of new and used construction equipment, aftermarket parts and service facilities, equipment rentals and the financing of new and used equipment. See Note 20 of the Notes to Consolidated Financial Statements for segment information.</w:t>
      </w:r>
    </w:p>
    <w:p>
      <w:pPr>
        <w:spacing w:after="0" w:line="169" w:lineRule="exact"/>
        <w:rPr>
          <w:sz w:val="20"/>
          <w:szCs w:val="20"/>
          <w:color w:val="auto"/>
        </w:rPr>
      </w:pPr>
    </w:p>
    <w:p>
      <w:pPr>
        <w:ind w:left="2"/>
        <w:spacing w:after="0" w:line="262" w:lineRule="auto"/>
        <w:rPr>
          <w:sz w:val="20"/>
          <w:szCs w:val="20"/>
          <w:color w:val="auto"/>
        </w:rPr>
      </w:pPr>
      <w:r>
        <w:rPr>
          <w:rFonts w:ascii="Arial" w:cs="Arial" w:eastAsia="Arial" w:hAnsi="Arial"/>
          <w:sz w:val="16"/>
          <w:szCs w:val="16"/>
          <w:color w:val="auto"/>
        </w:rPr>
        <w:t>On September 20, 2007, our shareholders approved an amendment to our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69" w:lineRule="exact"/>
        <w:rPr>
          <w:sz w:val="20"/>
          <w:szCs w:val="20"/>
          <w:color w:val="auto"/>
        </w:rPr>
      </w:pPr>
    </w:p>
    <w:p>
      <w:pPr>
        <w:ind w:left="2" w:right="8060" w:hanging="2"/>
        <w:spacing w:after="0" w:line="512" w:lineRule="auto"/>
        <w:tabs>
          <w:tab w:leader="none" w:pos="41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Principles of Consolidation</w:t>
      </w:r>
    </w:p>
    <w:p>
      <w:pPr>
        <w:ind w:left="2" w:right="500"/>
        <w:spacing w:after="0" w:line="286" w:lineRule="auto"/>
        <w:rPr>
          <w:sz w:val="20"/>
          <w:szCs w:val="20"/>
          <w:color w:val="auto"/>
        </w:rPr>
      </w:pPr>
      <w:r>
        <w:rPr>
          <w:rFonts w:ascii="Arial" w:cs="Arial" w:eastAsia="Arial" w:hAnsi="Arial"/>
          <w:sz w:val="16"/>
          <w:szCs w:val="16"/>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Estimates in Financial Statements</w:t>
      </w:r>
    </w:p>
    <w:p>
      <w:pPr>
        <w:spacing w:after="0" w:line="209" w:lineRule="exact"/>
        <w:rPr>
          <w:sz w:val="20"/>
          <w:szCs w:val="20"/>
          <w:color w:val="auto"/>
        </w:rPr>
      </w:pPr>
    </w:p>
    <w:p>
      <w:pPr>
        <w:jc w:val="both"/>
        <w:ind w:left="2" w:right="40"/>
        <w:spacing w:after="0" w:line="27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Cash and Cash Equivalents</w:t>
      </w:r>
    </w:p>
    <w:p>
      <w:pPr>
        <w:spacing w:after="0" w:line="209" w:lineRule="exact"/>
        <w:rPr>
          <w:sz w:val="20"/>
          <w:szCs w:val="20"/>
          <w:color w:val="auto"/>
        </w:rPr>
      </w:pPr>
    </w:p>
    <w:p>
      <w:pPr>
        <w:ind w:left="2" w:right="180"/>
        <w:spacing w:after="0" w:line="286" w:lineRule="auto"/>
        <w:rPr>
          <w:sz w:val="20"/>
          <w:szCs w:val="20"/>
          <w:color w:val="auto"/>
        </w:rPr>
      </w:pPr>
      <w:r>
        <w:rPr>
          <w:rFonts w:ascii="Arial" w:cs="Arial" w:eastAsia="Arial" w:hAnsi="Arial"/>
          <w:sz w:val="16"/>
          <w:szCs w:val="16"/>
          <w:color w:val="auto"/>
        </w:rPr>
        <w:t>Cash and cash equivalents generally consist of cash and other money market instruments. The Company considers all highly liquid investments with an original maturity of ninety days or less to be cash equivalents.</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Allowance for Doubtful Receivables and Repossession Losses</w:t>
      </w:r>
    </w:p>
    <w:p>
      <w:pPr>
        <w:spacing w:after="0" w:line="209" w:lineRule="exact"/>
        <w:rPr>
          <w:sz w:val="20"/>
          <w:szCs w:val="20"/>
          <w:color w:val="auto"/>
        </w:rPr>
      </w:pPr>
    </w:p>
    <w:p>
      <w:pPr>
        <w:ind w:left="2" w:right="480"/>
        <w:spacing w:after="0" w:line="286" w:lineRule="auto"/>
        <w:rPr>
          <w:sz w:val="20"/>
          <w:szCs w:val="20"/>
          <w:color w:val="auto"/>
        </w:rPr>
      </w:pPr>
      <w:r>
        <w:rPr>
          <w:rFonts w:ascii="Arial" w:cs="Arial" w:eastAsia="Arial" w:hAnsi="Arial"/>
          <w:sz w:val="16"/>
          <w:szCs w:val="16"/>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Inventories</w:t>
      </w:r>
    </w:p>
    <w:p>
      <w:pPr>
        <w:spacing w:after="0" w:line="209" w:lineRule="exact"/>
        <w:rPr>
          <w:sz w:val="20"/>
          <w:szCs w:val="20"/>
          <w:color w:val="auto"/>
        </w:rPr>
      </w:pPr>
    </w:p>
    <w:p>
      <w:pPr>
        <w:jc w:val="both"/>
        <w:ind w:left="2" w:right="100"/>
        <w:spacing w:after="0" w:line="271"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 plus a reasonable profit margin.</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Property and Equipment</w:t>
      </w:r>
    </w:p>
    <w:p>
      <w:pPr>
        <w:spacing w:after="0" w:line="209" w:lineRule="exact"/>
        <w:rPr>
          <w:sz w:val="20"/>
          <w:szCs w:val="20"/>
          <w:color w:val="auto"/>
        </w:rPr>
      </w:pPr>
    </w:p>
    <w:p>
      <w:pPr>
        <w:ind w:left="2" w:right="40"/>
        <w:spacing w:after="0" w:line="285" w:lineRule="auto"/>
        <w:rPr>
          <w:sz w:val="20"/>
          <w:szCs w:val="20"/>
          <w:color w:val="auto"/>
        </w:rPr>
      </w:pPr>
      <w:r>
        <w:rPr>
          <w:rFonts w:ascii="Arial" w:cs="Arial" w:eastAsia="Arial" w:hAnsi="Arial"/>
          <w:sz w:val="15"/>
          <w:szCs w:val="15"/>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did not incur any capitalized interest related to major capital projects in the periods presented. The cost, accumulated depreciation and amortization and estimated useful lives are summarized as follows (in thousands):</w:t>
      </w:r>
    </w:p>
    <w:p>
      <w:pPr>
        <w:spacing w:after="0" w:line="131" w:lineRule="exact"/>
        <w:rPr>
          <w:sz w:val="20"/>
          <w:szCs w:val="20"/>
          <w:color w:val="auto"/>
        </w:rPr>
      </w:pPr>
    </w:p>
    <w:tbl>
      <w:tblPr>
        <w:tblLayout w:type="fixed"/>
        <w:tblInd w:w="1162"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Estimated Life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5"/>
        </w:trPr>
        <w:tc>
          <w:tcPr>
            <w:tcW w:w="49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(Years)</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37,333</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86,862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76,350</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94"/>
              </w:rPr>
              <w:t>- 39</w:t>
            </w:r>
          </w:p>
        </w:tc>
        <w:tc>
          <w:tcPr>
            <w:tcW w:w="18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- 35</w:t>
            </w:r>
          </w:p>
        </w:tc>
        <w:tc>
          <w:tcPr>
            <w:tcW w:w="18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Machinery and shop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27,851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26,679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94"/>
              </w:rPr>
              <w:t>- 15</w:t>
            </w:r>
          </w:p>
        </w:tc>
        <w:tc>
          <w:tcPr>
            <w:tcW w:w="18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Furniture, fixtures and computers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26,717</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Transportation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30,670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28,046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w w:val="94"/>
              </w:rPr>
              <w:t>- 15</w:t>
            </w:r>
          </w:p>
        </w:tc>
        <w:tc>
          <w:tcPr>
            <w:tcW w:w="18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Lease and rental vehicles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189,107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170,765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32,860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16,562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 and amortization</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(124,597 )</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(100,151 )</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89"/>
        </w:trPr>
        <w:tc>
          <w:tcPr>
            <w:tcW w:w="49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332,147</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299,013</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right="80"/>
        <w:spacing w:after="0" w:line="271" w:lineRule="auto"/>
        <w:rPr>
          <w:sz w:val="20"/>
          <w:szCs w:val="20"/>
          <w:color w:val="auto"/>
        </w:rPr>
      </w:pPr>
      <w:r>
        <w:rPr>
          <w:rFonts w:ascii="Arial" w:cs="Arial" w:eastAsia="Arial" w:hAnsi="Arial"/>
          <w:sz w:val="16"/>
          <w:szCs w:val="16"/>
          <w:color w:val="auto"/>
        </w:rPr>
        <w:t>As of December 31, 2008, the Company had $14.3 million (net of accumulated depreciation of $8.0 million) in lease and rental vehicles under various capital leases included in property and equipment. The charge to income resulting from amortization of these assets recorded under capital leases is included in lease and rental cost of products sold.</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Goodwill</w:t>
      </w:r>
    </w:p>
    <w:p>
      <w:pPr>
        <w:spacing w:after="0" w:line="209" w:lineRule="exact"/>
        <w:rPr>
          <w:sz w:val="20"/>
          <w:szCs w:val="20"/>
          <w:color w:val="auto"/>
        </w:rPr>
      </w:pPr>
    </w:p>
    <w:p>
      <w:pPr>
        <w:ind w:left="2" w:right="80"/>
        <w:spacing w:after="0" w:line="322" w:lineRule="auto"/>
        <w:rPr>
          <w:sz w:val="20"/>
          <w:szCs w:val="20"/>
          <w:color w:val="auto"/>
        </w:rPr>
      </w:pPr>
      <w:r>
        <w:rPr>
          <w:rFonts w:ascii="Arial" w:cs="Arial" w:eastAsia="Arial" w:hAnsi="Arial"/>
          <w:sz w:val="15"/>
          <w:szCs w:val="15"/>
          <w:color w:val="auto"/>
        </w:rPr>
        <w:t>Goodwill related to acquisitions was approximately $141.9 million as of December 31, 2008 and $120.6 million as of December 31, 2007. Goodwill increased $21.4 million in 2008 and $3.5 million in 2007. Accumulated amortization of goodwill was approximately $3.8 million at December 31, 2008 and December 31, 2007.</w:t>
      </w:r>
    </w:p>
    <w:p>
      <w:pPr>
        <w:spacing w:after="0" w:line="126" w:lineRule="exact"/>
        <w:rPr>
          <w:sz w:val="20"/>
          <w:szCs w:val="20"/>
          <w:color w:val="auto"/>
        </w:rPr>
      </w:pPr>
    </w:p>
    <w:p>
      <w:pPr>
        <w:ind w:left="2" w:right="100"/>
        <w:spacing w:after="0" w:line="271" w:lineRule="auto"/>
        <w:rPr>
          <w:sz w:val="20"/>
          <w:szCs w:val="20"/>
          <w:color w:val="auto"/>
        </w:rPr>
      </w:pPr>
      <w:r>
        <w:rPr>
          <w:rFonts w:ascii="Arial" w:cs="Arial" w:eastAsia="Arial" w:hAnsi="Arial"/>
          <w:sz w:val="16"/>
          <w:szCs w:val="16"/>
          <w:color w:val="auto"/>
        </w:rPr>
        <w:t>Goodwill represents the excess purchase price over the fair value of net assets acquired. The Company applies the provisions of the Financial Accounting Standards Board’s (the “FASB”) Statement No. 142, “Goodwill and Other Intangible Assets” (“SFAS 142”), in our accounting for goodwill. SFAS 142 requires that goodwill and other intangible assets that have indefinite lives not be amortized but instead be tested at</w:t>
      </w:r>
    </w:p>
    <w:p>
      <w:pPr>
        <w:sectPr>
          <w:pgSz w:w="11900" w:h="16838" w:orient="portrait"/>
          <w:cols w:equalWidth="0" w:num="1">
            <w:col w:w="11422"/>
          </w:cols>
          <w:pgMar w:left="238" w:top="127" w:right="239" w:bottom="0" w:gutter="0" w:footer="0" w:header="0"/>
        </w:sectPr>
      </w:pP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2"/>
          </w:cols>
          <w:pgMar w:left="238" w:top="127" w:right="239" w:bottom="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640" cy="26035"/>
                    </a:xfrm>
                    <a:prstGeom prst="rect">
                      <a:avLst/>
                    </a:prstGeom>
                    <a:noFill/>
                  </pic:spPr>
                </pic:pic>
              </a:graphicData>
            </a:graphic>
          </wp:anchor>
        </w:drawing>
      </w: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least annually by reporting unit for impairment, or more frequently when events or changes in circumstances indicate that the asset might be impaired. For indefinite lived intangible assets, impairment is tested by comparing the carrying value of the asset to the fair value of the reporting unit, which is the same as the segment to which they are assigned.</w:t>
      </w:r>
    </w:p>
    <w:p>
      <w:pPr>
        <w:spacing w:after="0" w:line="162"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For its goodwill impairment tests, the Company determines the fair value of its reporting units using the discounted cash flow method. The discounted cash flow method uses various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 If the carrying amount of the reporting unit exceeds the estimated fair value determined using the discounted cash flow method, then goodwill impairment may be present.</w:t>
      </w:r>
    </w:p>
    <w:p>
      <w:pPr>
        <w:spacing w:after="0" w:line="150"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Goodwill was tested for impairment during the fourth quarter of 2008 and no impairment write down was required. However, the Company cannot predict the occurrence of certain events that might adversely affect the reported value of goodwill in the future. Such events may include, but are not limited to, strategic decisions made in response to economic and competitive conditions or the impact of the current economic environment.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Assets</w:t>
      </w:r>
    </w:p>
    <w:p>
      <w:pPr>
        <w:spacing w:after="0" w:line="209"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Other assets include the long-term portion of notes receivable of $0.2 million at December 31, 2008 and $0.7 million at December 31, 2007. The Company recognizes interest income on notes receivable monthly as earned. Accumulated amortization of other assets was approximately $1.0 million at December 31, 2008 and $0.9 million at December 31, 2007. The Company annually assesses the appropriateness of the asset valuations of other assets and the related amortization period as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69"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26"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 xml:space="preserve">The Company adopted FASB Interpretation 48,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xml:space="preserve"> (“FIN 48”), effective January 1, 2007.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 Policies</w:t>
      </w:r>
    </w:p>
    <w:p>
      <w:pPr>
        <w:spacing w:after="0" w:line="209" w:lineRule="exact"/>
        <w:rPr>
          <w:sz w:val="20"/>
          <w:szCs w:val="20"/>
          <w:color w:val="auto"/>
        </w:rPr>
      </w:pPr>
    </w:p>
    <w:p>
      <w:pPr>
        <w:ind w:right="380"/>
        <w:spacing w:after="0" w:line="322" w:lineRule="auto"/>
        <w:rPr>
          <w:sz w:val="20"/>
          <w:szCs w:val="20"/>
          <w:color w:val="auto"/>
        </w:rPr>
      </w:pPr>
      <w:r>
        <w:rPr>
          <w:rFonts w:ascii="Arial" w:cs="Arial" w:eastAsia="Arial" w:hAnsi="Arial"/>
          <w:sz w:val="15"/>
          <w:szCs w:val="15"/>
          <w:color w:val="auto"/>
        </w:rPr>
        <w:t>Income on the sale of a vehicle or a piece of construction equipment (each a “unit”) is recognized when the seller and customer execute a purchase contract, delivery has occurred and there are no significant uncertainties related to financing or collectibility. Finance income related to the sale of a unit is recognized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over the period of the respective finance contract, based on the effective interest rate method, if the finance contract is retained by the Company. During 2008, 2007 and 2006,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Cost of Sales</w:t>
      </w:r>
    </w:p>
    <w:p>
      <w:pPr>
        <w:spacing w:after="0" w:line="20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For the Company’s new and used truck and construction equipment operations and its parts operations, cost of sales consists primarily of the Company’s actual purchase price, less manufacturer’s incentives, for new and used trucks and construction equipment and parts. The Company is subject to a chargeback of manufacturer incentives for trucks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Selling, General and Administrative Expenses</w:t>
      </w:r>
    </w:p>
    <w:p>
      <w:pPr>
        <w:spacing w:after="0" w:line="209" w:lineRule="exact"/>
        <w:rPr>
          <w:sz w:val="20"/>
          <w:szCs w:val="20"/>
          <w:color w:val="auto"/>
        </w:rPr>
      </w:pPr>
    </w:p>
    <w:p>
      <w:pPr>
        <w:ind w:right="860"/>
        <w:spacing w:after="0" w:line="322" w:lineRule="auto"/>
        <w:rPr>
          <w:sz w:val="20"/>
          <w:szCs w:val="20"/>
          <w:color w:val="auto"/>
        </w:rPr>
      </w:pPr>
      <w:r>
        <w:rPr>
          <w:rFonts w:ascii="Arial" w:cs="Arial" w:eastAsia="Arial" w:hAnsi="Arial"/>
          <w:sz w:val="15"/>
          <w:szCs w:val="15"/>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Based Compensation</w:t>
      </w:r>
    </w:p>
    <w:p>
      <w:pPr>
        <w:spacing w:after="0" w:line="209" w:lineRule="exact"/>
        <w:rPr>
          <w:sz w:val="20"/>
          <w:szCs w:val="20"/>
          <w:color w:val="auto"/>
        </w:rPr>
      </w:pPr>
    </w:p>
    <w:p>
      <w:pPr>
        <w:ind w:right="120"/>
        <w:spacing w:after="0" w:line="327" w:lineRule="auto"/>
        <w:rPr>
          <w:sz w:val="20"/>
          <w:szCs w:val="20"/>
          <w:color w:val="auto"/>
        </w:rPr>
      </w:pPr>
      <w:r>
        <w:rPr>
          <w:rFonts w:ascii="Arial" w:cs="Arial" w:eastAsia="Arial" w:hAnsi="Arial"/>
          <w:sz w:val="14"/>
          <w:szCs w:val="14"/>
          <w:color w:val="auto"/>
        </w:rPr>
        <w:t>The Company accounts for stock-based compensation in accordance with Statement of Financial Accounting Standards No. 123 (revised 2004), “Share-Based Payment,” (“SFAS 123(R)”), which requires the measurement and recognition of compensation expense for all share-based payment awards made to employees and directors including grants of stock options, restricted stock awards and employee stock purchases under the Company’s Employee Stock Purchase Plan based on estimated fair values.</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The Company’s Consolidated Financial Statements reflect the impact of SFAS 123(R).</w:t>
      </w:r>
    </w:p>
    <w:p>
      <w:pPr>
        <w:spacing w:after="0" w:line="150"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Statements of Income.</w:t>
      </w:r>
    </w:p>
    <w:p>
      <w:pPr>
        <w:sectPr>
          <w:pgSz w:w="11900" w:h="16838" w:orient="portrait"/>
          <w:cols w:equalWidth="0" w:num="1">
            <w:col w:w="11420"/>
          </w:cols>
          <w:pgMar w:left="240" w:top="483" w:right="239" w:bottom="0" w:gutter="0" w:footer="0" w:header="0"/>
        </w:sectPr>
      </w:pPr>
    </w:p>
    <w:bookmarkStart w:id="30" w:name="page31"/>
    <w:bookmarkEnd w:id="30"/>
    <w:p>
      <w:pPr>
        <w:ind w:left="2" w:right="80"/>
        <w:spacing w:after="0" w:line="282" w:lineRule="auto"/>
        <w:rPr>
          <w:sz w:val="20"/>
          <w:szCs w:val="20"/>
          <w:color w:val="auto"/>
        </w:rPr>
      </w:pPr>
      <w:r>
        <w:rPr>
          <w:rFonts w:ascii="Arial" w:cs="Arial" w:eastAsia="Arial" w:hAnsi="Arial"/>
          <w:sz w:val="15"/>
          <w:szCs w:val="15"/>
          <w:color w:val="auto"/>
        </w:rPr>
        <w:t>Stock-based compensation expense recognized is based on the fair value of the portion of share-based payment awards that is ultimately expected to vest during the period. Stock-based compensation expense recognized in the Company’s Consolidated Statements of Income for the years ended December 31, 2008, 2007 and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w:t>
      </w:r>
    </w:p>
    <w:p>
      <w:pPr>
        <w:spacing w:after="0" w:line="1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42"/>
        <w:spacing w:after="0"/>
        <w:rPr>
          <w:sz w:val="20"/>
          <w:szCs w:val="20"/>
          <w:color w:val="auto"/>
        </w:rPr>
      </w:pPr>
      <w:r>
        <w:rPr>
          <w:rFonts w:ascii="Arial" w:cs="Arial" w:eastAsia="Arial" w:hAnsi="Arial"/>
          <w:sz w:val="15"/>
          <w:szCs w:val="15"/>
          <w:color w:val="auto"/>
        </w:rPr>
        <w:t>compensation expense recognized in the Consolidated Statements of Income is based on awards ultimately expected to vest, it has been reduced for estimated forfeitures.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5"/>
          <w:szCs w:val="15"/>
          <w:color w:val="auto"/>
        </w:rPr>
        <w:t>SFAS 123(R) requires forfeitures to be estimated at the time of grant and revised, if necessary, in subsequent periods if actual forfeitures differ from those estimates.</w:t>
      </w:r>
    </w:p>
    <w:p>
      <w:pPr>
        <w:spacing w:after="0" w:line="209" w:lineRule="exact"/>
        <w:rPr>
          <w:sz w:val="20"/>
          <w:szCs w:val="20"/>
          <w:color w:val="auto"/>
        </w:rPr>
      </w:pPr>
    </w:p>
    <w:p>
      <w:pPr>
        <w:ind w:left="2"/>
        <w:spacing w:after="0" w:line="259" w:lineRule="auto"/>
        <w:rPr>
          <w:sz w:val="20"/>
          <w:szCs w:val="20"/>
          <w:color w:val="auto"/>
        </w:rPr>
      </w:pPr>
      <w:r>
        <w:rPr>
          <w:rFonts w:ascii="Arial" w:cs="Arial" w:eastAsia="Arial" w:hAnsi="Arial"/>
          <w:sz w:val="16"/>
          <w:szCs w:val="16"/>
          <w:color w:val="auto"/>
        </w:rPr>
        <w:t>The Company uses the Black-Scholes option-pricing model which was previously used for the Company’s pro forma information required under SFAS 123. For additional information, see Note 12.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using an option-pricing model, that value may not be indicative of the fair value observed in a market transaction between a willing buyer and a willing seller.</w:t>
      </w:r>
    </w:p>
    <w:p>
      <w:pPr>
        <w:spacing w:after="0" w:line="176" w:lineRule="exact"/>
        <w:rPr>
          <w:sz w:val="20"/>
          <w:szCs w:val="20"/>
          <w:color w:val="auto"/>
        </w:rPr>
      </w:pPr>
    </w:p>
    <w:p>
      <w:pPr>
        <w:ind w:left="2" w:right="200"/>
        <w:spacing w:after="0" w:line="286" w:lineRule="auto"/>
        <w:rPr>
          <w:sz w:val="20"/>
          <w:szCs w:val="20"/>
          <w:color w:val="auto"/>
        </w:rPr>
      </w:pPr>
      <w:r>
        <w:rPr>
          <w:rFonts w:ascii="Arial" w:cs="Arial" w:eastAsia="Arial" w:hAnsi="Arial"/>
          <w:sz w:val="16"/>
          <w:szCs w:val="16"/>
          <w:color w:val="auto"/>
        </w:rPr>
        <w:t>The following table reflects the weighted-average fair value of stock options granted during each period using the Black-Scholes option valuation model with the following weighted-average assumptions used:</w:t>
      </w:r>
    </w:p>
    <w:p>
      <w:pPr>
        <w:spacing w:after="0" w:line="143" w:lineRule="exact"/>
        <w:rPr>
          <w:sz w:val="20"/>
          <w:szCs w:val="20"/>
          <w:color w:val="auto"/>
        </w:rPr>
      </w:pPr>
    </w:p>
    <w:tbl>
      <w:tblPr>
        <w:tblLayout w:type="fixed"/>
        <w:tblInd w:w="1162" w:type="dxa"/>
        <w:tblCellMar>
          <w:top w:w="0" w:type="dxa"/>
          <w:left w:w="0" w:type="dxa"/>
          <w:bottom w:w="0" w:type="dxa"/>
          <w:right w:w="0" w:type="dxa"/>
        </w:tblCellMar>
      </w:tblPr>
      <w:tr>
        <w:trPr>
          <w:trHeight w:val="155"/>
        </w:trPr>
        <w:tc>
          <w:tcPr>
            <w:tcW w:w="48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2008</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2007</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2006</w:t>
            </w:r>
          </w:p>
        </w:tc>
        <w:tc>
          <w:tcPr>
            <w:tcW w:w="180" w:type="dxa"/>
            <w:vAlign w:val="bottom"/>
            <w:tcBorders>
              <w:bottom w:val="single" w:sz="8" w:color="CCEEFF"/>
            </w:tcBorders>
          </w:tcPr>
          <w:p>
            <w:pPr>
              <w:spacing w:after="0"/>
              <w:rPr>
                <w:sz w:val="13"/>
                <w:szCs w:val="13"/>
                <w:color w:val="auto"/>
              </w:rPr>
            </w:pPr>
          </w:p>
        </w:tc>
      </w:tr>
      <w:tr>
        <w:trPr>
          <w:trHeight w:val="189"/>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Expected stock volatility</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- 36.7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- 38.9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- 32.2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196"/>
        </w:trPr>
        <w:tc>
          <w:tcPr>
            <w:tcW w:w="4860" w:type="dxa"/>
            <w:vAlign w:val="bottom"/>
          </w:tcPr>
          <w:p>
            <w:pPr>
              <w:spacing w:after="0"/>
              <w:rPr>
                <w:sz w:val="20"/>
                <w:szCs w:val="20"/>
                <w:color w:val="auto"/>
              </w:rPr>
            </w:pPr>
            <w:r>
              <w:rPr>
                <w:rFonts w:ascii="Arial" w:cs="Arial" w:eastAsia="Arial" w:hAnsi="Arial"/>
                <w:sz w:val="16"/>
                <w:szCs w:val="16"/>
                <w:color w:val="auto"/>
              </w:rPr>
              <w:t>Weighted-average stock volatility</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36.73 %</w:t>
            </w: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38.78 %</w:t>
            </w:r>
          </w:p>
        </w:tc>
        <w:tc>
          <w:tcPr>
            <w:tcW w:w="2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26.86 %</w:t>
            </w: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196"/>
        </w:trPr>
        <w:tc>
          <w:tcPr>
            <w:tcW w:w="48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2.41 %</w:t>
            </w: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4.66 %</w:t>
            </w:r>
          </w:p>
        </w:tc>
        <w:tc>
          <w:tcPr>
            <w:tcW w:w="2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4.69 %</w:t>
            </w: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(years)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5.0 - 7.0</w:t>
            </w:r>
          </w:p>
        </w:tc>
        <w:tc>
          <w:tcPr>
            <w:tcW w:w="180" w:type="dxa"/>
            <w:vAlign w:val="bottom"/>
            <w:shd w:val="clear" w:color="auto" w:fill="CCEEFF"/>
          </w:tcPr>
          <w:p>
            <w:pPr>
              <w:spacing w:after="0"/>
              <w:rPr>
                <w:sz w:val="17"/>
                <w:szCs w:val="17"/>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6"/>
                <w:szCs w:val="16"/>
                <w:color w:val="auto"/>
              </w:rPr>
              <w:t>Weighted-average fair value of stock options granted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5.62</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5.66</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4.95</w:t>
            </w:r>
          </w:p>
        </w:tc>
        <w:tc>
          <w:tcPr>
            <w:tcW w:w="180" w:type="dxa"/>
            <w:vAlign w:val="bottom"/>
          </w:tcPr>
          <w:p>
            <w:pPr>
              <w:spacing w:after="0"/>
              <w:rPr>
                <w:sz w:val="18"/>
                <w:szCs w:val="18"/>
                <w:color w:val="auto"/>
              </w:rPr>
            </w:pPr>
          </w:p>
        </w:tc>
      </w:tr>
    </w:tbl>
    <w:p>
      <w:pPr>
        <w:spacing w:after="0" w:line="172" w:lineRule="exact"/>
        <w:rPr>
          <w:sz w:val="20"/>
          <w:szCs w:val="20"/>
          <w:color w:val="auto"/>
        </w:rPr>
      </w:pPr>
    </w:p>
    <w:p>
      <w:pPr>
        <w:jc w:val="both"/>
        <w:ind w:left="2" w:right="80"/>
        <w:spacing w:after="0" w:line="271" w:lineRule="auto"/>
        <w:rPr>
          <w:sz w:val="20"/>
          <w:szCs w:val="20"/>
          <w:color w:val="auto"/>
        </w:rPr>
      </w:pPr>
      <w:r>
        <w:rPr>
          <w:rFonts w:ascii="Arial" w:cs="Arial" w:eastAsia="Arial" w:hAnsi="Arial"/>
          <w:sz w:val="16"/>
          <w:szCs w:val="16"/>
          <w:color w:val="auto"/>
        </w:rPr>
        <w:t>The Company computes its historical stock price volatility in accordance with SFAS 123(R).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Advertising Costs</w:t>
      </w:r>
    </w:p>
    <w:p>
      <w:pPr>
        <w:spacing w:after="0" w:line="209" w:lineRule="exact"/>
        <w:rPr>
          <w:sz w:val="20"/>
          <w:szCs w:val="20"/>
          <w:color w:val="auto"/>
        </w:rPr>
      </w:pPr>
    </w:p>
    <w:p>
      <w:pPr>
        <w:ind w:left="2" w:right="260"/>
        <w:spacing w:after="0" w:line="286" w:lineRule="auto"/>
        <w:rPr>
          <w:sz w:val="20"/>
          <w:szCs w:val="20"/>
          <w:color w:val="auto"/>
        </w:rPr>
      </w:pPr>
      <w:r>
        <w:rPr>
          <w:rFonts w:ascii="Arial" w:cs="Arial" w:eastAsia="Arial" w:hAnsi="Arial"/>
          <w:sz w:val="16"/>
          <w:szCs w:val="16"/>
          <w:color w:val="auto"/>
        </w:rPr>
        <w:t>Advertising costs are expensed as incurred. Advertising and marketing expense related to operations was $3.6 million for 2008, $4.2 million for 2007 and $3.1 million for 2006. Advertising and marketing expense is included in selling, general and administrative expense.</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Accounting for Internal Use Software</w:t>
      </w:r>
    </w:p>
    <w:p>
      <w:pPr>
        <w:spacing w:after="0" w:line="209" w:lineRule="exact"/>
        <w:rPr>
          <w:sz w:val="20"/>
          <w:szCs w:val="20"/>
          <w:color w:val="auto"/>
        </w:rPr>
      </w:pPr>
    </w:p>
    <w:p>
      <w:pPr>
        <w:ind w:left="2" w:right="100"/>
        <w:spacing w:after="0" w:line="315" w:lineRule="auto"/>
        <w:rPr>
          <w:sz w:val="20"/>
          <w:szCs w:val="20"/>
          <w:color w:val="auto"/>
        </w:rPr>
      </w:pPr>
      <w:r>
        <w:rPr>
          <w:rFonts w:ascii="Arial" w:cs="Arial" w:eastAsia="Arial" w:hAnsi="Arial"/>
          <w:sz w:val="14"/>
          <w:szCs w:val="14"/>
          <w:color w:val="auto"/>
        </w:rPr>
        <w:t>The American Institute of Certified Public Accountants issued Statement of Position 98-1, “Accounting for the Costs of Computer Software Developed or Obtained for Internal Use” (“SOP 98-1”) in March 1998. SOP 98-1 provides guidance on accounting for the costs of computer software developed or obtained for internal use and identifies characteristics of internal-use software. The Company’s accounting policy with respect to accounting for computer software developed or obtained for internal use is consistent with SOP 98-1. The Company has capitalized software costs of approximately $20.9 million at December 31, 2008, and $11.9 million at December 31, 2007.</w:t>
      </w:r>
    </w:p>
    <w:p>
      <w:pPr>
        <w:spacing w:after="0" w:line="13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New Accounting Pronouncements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5"/>
          <w:szCs w:val="15"/>
          <w:color w:val="auto"/>
        </w:rPr>
        <w:t>In December 2007, the FASB issued SFAS No. 141(R), “Business Combinations” (“SFAS 141(R)”), which establishes principles and requirements for how the acquirer:</w:t>
      </w:r>
    </w:p>
    <w:p>
      <w:pPr>
        <w:spacing w:after="0" w:line="35" w:lineRule="exact"/>
        <w:rPr>
          <w:sz w:val="20"/>
          <w:szCs w:val="20"/>
          <w:color w:val="auto"/>
        </w:rPr>
      </w:pPr>
    </w:p>
    <w:p>
      <w:pPr>
        <w:ind w:left="2" w:right="80" w:hanging="2"/>
        <w:spacing w:after="0" w:line="258" w:lineRule="auto"/>
        <w:tabs>
          <w:tab w:leader="none" w:pos="2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recognizes and measures in its financial statements the identifiable assets acquired, the liabilities assumed, and any noncontrolling interest in the acquiree; (b) recognizes and measures the goodwill acquired in the business combination or a gain from a bargain purchase; and (c) determines what information to disclose to enable users of the financial statements to evaluate the nature and financial effects of the business combination. SFAS 141(R) requires contingent consideration to be recognized at its fair value on the acquisition date and, for certain arrangements, changes in fair value to be recognized in earnings until settled. SFAS 141(R) also requires acquisition-related transaction and restructuring costs to be expensed rather than treated as part of the cost of the acquisition. SFAS 141(R) applies prospectively to business combinations for which the acquisition date is on or after the beginning of the first annual reporting period beginning on or after December 15, 2008. The Company does not expect the adoption of SFAS 141(R) to have a significant impact on its consolidated results of operations and financial position, but will impact any business combinations that close on or after January 1, 2009.</w:t>
      </w:r>
    </w:p>
    <w:p>
      <w:pPr>
        <w:spacing w:after="0" w:line="173" w:lineRule="exact"/>
        <w:rPr>
          <w:sz w:val="20"/>
          <w:szCs w:val="20"/>
          <w:color w:val="auto"/>
        </w:rPr>
      </w:pPr>
    </w:p>
    <w:p>
      <w:pPr>
        <w:ind w:left="2" w:right="40"/>
        <w:spacing w:after="0" w:line="282" w:lineRule="auto"/>
        <w:rPr>
          <w:sz w:val="20"/>
          <w:szCs w:val="20"/>
          <w:color w:val="auto"/>
        </w:rPr>
      </w:pPr>
      <w:r>
        <w:rPr>
          <w:rFonts w:ascii="Arial" w:cs="Arial" w:eastAsia="Arial" w:hAnsi="Arial"/>
          <w:sz w:val="15"/>
          <w:szCs w:val="15"/>
          <w:color w:val="auto"/>
        </w:rPr>
        <w:t>In June 2008, the FASB issued FASB Staff Position EITF 03-6-1, “Determining Whether Instruments Granted in Share-Based Payment Transactions are Participating Securities.” EITF 03-6-1 requires unvested share-based payment awards that contain non-forfeitable rights to dividends or dividend equivalents to be treated as participating securities as defined in EITF Issue No. 03-6, “Participating Securities and the Two-Class Method under FASB Statement No. 128,” and, therefore, included in the earnings allocation in computing earnings per share under the two-class method described in FASB Statement No. 128, “Earnings per Share.” Upon adoption, all previously reported earnings per share data should be adjusted retrospectively to conform with the requirements of EITF 03-6-1. The Company is required to adopt EITF 03-6-1 starting in 2009. The Company does not expect EITF 03-6-1 to have an effect on its consolidated financial statements.</w:t>
      </w:r>
    </w:p>
    <w:p>
      <w:pPr>
        <w:spacing w:after="0" w:line="158" w:lineRule="exact"/>
        <w:rPr>
          <w:sz w:val="20"/>
          <w:szCs w:val="20"/>
          <w:color w:val="auto"/>
        </w:rPr>
      </w:pPr>
    </w:p>
    <w:p>
      <w:pPr>
        <w:ind w:left="2" w:right="7480" w:hanging="2"/>
        <w:spacing w:after="0" w:line="546" w:lineRule="auto"/>
        <w:tabs>
          <w:tab w:leader="none" w:pos="41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SUPPLIER AND CUSTOMER CONCENTRATION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Major Suppliers and Dealership Agreements</w:t>
      </w:r>
    </w:p>
    <w:p>
      <w:pPr>
        <w:ind w:left="2" w:right="220"/>
        <w:spacing w:after="0" w:line="297" w:lineRule="auto"/>
        <w:rPr>
          <w:sz w:val="20"/>
          <w:szCs w:val="20"/>
          <w:color w:val="auto"/>
        </w:rPr>
      </w:pPr>
      <w:r>
        <w:rPr>
          <w:rFonts w:ascii="Arial" w:cs="Arial" w:eastAsia="Arial" w:hAnsi="Arial"/>
          <w:sz w:val="15"/>
          <w:szCs w:val="15"/>
          <w:color w:val="auto"/>
        </w:rPr>
        <w:t>The Company has entered into dealership agreements with various manufacturers of vehicles and construction equipment (“Manufacturers”). These agreements are nonexclusive agreements that allow the Company to stock, sell at retail and service trucks, equipment and products of the Manufacturers in the Company’s defined market. The agreements allow the Company to use the Manufacturers’ names, trade symbols and intellectual property and expire as follows:</w:t>
      </w:r>
    </w:p>
    <w:p>
      <w:pPr>
        <w:sectPr>
          <w:pgSz w:w="11900" w:h="16838" w:orient="portrait"/>
          <w:cols w:equalWidth="0" w:num="1">
            <w:col w:w="11422"/>
          </w:cols>
          <w:pgMar w:left="238" w:top="127" w:right="239" w:bottom="0" w:gutter="0" w:footer="0" w:header="0"/>
        </w:sectPr>
      </w:pPr>
    </w:p>
    <w:bookmarkStart w:id="31" w:name="page32"/>
    <w:bookmarkEnd w:id="31"/>
    <w:tbl>
      <w:tblPr>
        <w:tblLayout w:type="fixed"/>
        <w:tblInd w:w="1162" w:type="dxa"/>
        <w:tblCellMar>
          <w:top w:w="0" w:type="dxa"/>
          <w:left w:w="0" w:type="dxa"/>
          <w:bottom w:w="0" w:type="dxa"/>
          <w:right w:w="0" w:type="dxa"/>
        </w:tblCellMar>
      </w:tblPr>
      <w:tr>
        <w:trPr>
          <w:trHeight w:val="155"/>
        </w:trPr>
        <w:tc>
          <w:tcPr>
            <w:tcW w:w="4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Distributor</w:t>
            </w:r>
          </w:p>
        </w:tc>
        <w:tc>
          <w:tcPr>
            <w:tcW w:w="4600" w:type="dxa"/>
            <w:vAlign w:val="bottom"/>
          </w:tcPr>
          <w:p>
            <w:pPr>
              <w:jc w:val="center"/>
              <w:spacing w:after="0"/>
              <w:rPr>
                <w:sz w:val="20"/>
                <w:szCs w:val="20"/>
                <w:color w:val="auto"/>
              </w:rPr>
            </w:pPr>
            <w:r>
              <w:rPr>
                <w:rFonts w:ascii="Arial" w:cs="Arial" w:eastAsia="Arial" w:hAnsi="Arial"/>
                <w:sz w:val="13"/>
                <w:szCs w:val="13"/>
                <w:b w:val="1"/>
                <w:bCs w:val="1"/>
                <w:color w:val="auto"/>
                <w:w w:val="93"/>
              </w:rPr>
              <w:t>Expiration Dates</w:t>
            </w:r>
          </w:p>
        </w:tc>
      </w:tr>
      <w:tr>
        <w:trPr>
          <w:trHeight w:val="189"/>
        </w:trPr>
        <w:tc>
          <w:tcPr>
            <w:tcW w:w="4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Peterbilt</w:t>
            </w:r>
          </w:p>
        </w:tc>
        <w:tc>
          <w:tcPr>
            <w:tcW w:w="360" w:type="dxa"/>
            <w:vAlign w:val="bottom"/>
            <w:tcBorders>
              <w:top w:val="single" w:sz="8" w:color="CCEEFF"/>
            </w:tcBorders>
            <w:shd w:val="clear" w:color="auto" w:fill="CCEEFF"/>
          </w:tcPr>
          <w:p>
            <w:pPr>
              <w:spacing w:after="0"/>
              <w:rPr>
                <w:sz w:val="16"/>
                <w:szCs w:val="16"/>
                <w:color w:val="auto"/>
              </w:rPr>
            </w:pPr>
          </w:p>
        </w:tc>
        <w:tc>
          <w:tcPr>
            <w:tcW w:w="4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March 2009 through May 2011</w:t>
            </w:r>
          </w:p>
        </w:tc>
      </w:tr>
      <w:tr>
        <w:trPr>
          <w:trHeight w:val="196"/>
        </w:trPr>
        <w:tc>
          <w:tcPr>
            <w:tcW w:w="452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International</w:t>
            </w:r>
          </w:p>
        </w:tc>
        <w:tc>
          <w:tcPr>
            <w:tcW w:w="4600" w:type="dxa"/>
            <w:vAlign w:val="bottom"/>
          </w:tcPr>
          <w:p>
            <w:pPr>
              <w:jc w:val="center"/>
              <w:spacing w:after="0"/>
              <w:rPr>
                <w:sz w:val="20"/>
                <w:szCs w:val="20"/>
                <w:color w:val="auto"/>
              </w:rPr>
            </w:pPr>
            <w:r>
              <w:rPr>
                <w:rFonts w:ascii="Arial" w:cs="Arial" w:eastAsia="Arial" w:hAnsi="Arial"/>
                <w:sz w:val="16"/>
                <w:szCs w:val="16"/>
                <w:color w:val="auto"/>
                <w:w w:val="96"/>
              </w:rPr>
              <w:t>May 2013</w:t>
            </w:r>
          </w:p>
        </w:tc>
      </w:tr>
      <w:tr>
        <w:trPr>
          <w:trHeight w:val="196"/>
        </w:trPr>
        <w:tc>
          <w:tcPr>
            <w:tcW w:w="452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94"/>
              </w:rPr>
              <w:t>Volvo</w:t>
            </w:r>
          </w:p>
        </w:tc>
        <w:tc>
          <w:tcPr>
            <w:tcW w:w="4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August 2010</w:t>
            </w:r>
          </w:p>
        </w:tc>
      </w:tr>
      <w:tr>
        <w:trPr>
          <w:trHeight w:val="196"/>
        </w:trPr>
        <w:tc>
          <w:tcPr>
            <w:tcW w:w="4520" w:type="dxa"/>
            <w:vAlign w:val="bottom"/>
            <w:gridSpan w:val="2"/>
          </w:tcPr>
          <w:p>
            <w:pPr>
              <w:jc w:val="center"/>
              <w:ind w:right="380"/>
              <w:spacing w:after="0"/>
              <w:rPr>
                <w:sz w:val="20"/>
                <w:szCs w:val="20"/>
                <w:color w:val="auto"/>
              </w:rPr>
            </w:pPr>
            <w:r>
              <w:rPr>
                <w:rFonts w:ascii="Arial" w:cs="Arial" w:eastAsia="Arial" w:hAnsi="Arial"/>
                <w:sz w:val="16"/>
                <w:szCs w:val="16"/>
                <w:color w:val="auto"/>
              </w:rPr>
              <w:t>GMC</w:t>
            </w:r>
          </w:p>
        </w:tc>
        <w:tc>
          <w:tcPr>
            <w:tcW w:w="4600" w:type="dxa"/>
            <w:vAlign w:val="bottom"/>
          </w:tcPr>
          <w:p>
            <w:pPr>
              <w:jc w:val="center"/>
              <w:spacing w:after="0"/>
              <w:rPr>
                <w:sz w:val="20"/>
                <w:szCs w:val="20"/>
                <w:color w:val="auto"/>
              </w:rPr>
            </w:pPr>
            <w:r>
              <w:rPr>
                <w:rFonts w:ascii="Arial" w:cs="Arial" w:eastAsia="Arial" w:hAnsi="Arial"/>
                <w:sz w:val="16"/>
                <w:szCs w:val="16"/>
                <w:color w:val="auto"/>
                <w:w w:val="90"/>
              </w:rPr>
              <w:t>October 2010</w:t>
            </w:r>
          </w:p>
        </w:tc>
      </w:tr>
      <w:tr>
        <w:trPr>
          <w:trHeight w:val="196"/>
        </w:trPr>
        <w:tc>
          <w:tcPr>
            <w:tcW w:w="452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8"/>
              </w:rPr>
              <w:t>Isuzu</w:t>
            </w:r>
          </w:p>
        </w:tc>
        <w:tc>
          <w:tcPr>
            <w:tcW w:w="4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Indefinite</w:t>
            </w:r>
          </w:p>
        </w:tc>
      </w:tr>
      <w:tr>
        <w:trPr>
          <w:trHeight w:val="196"/>
        </w:trPr>
        <w:tc>
          <w:tcPr>
            <w:tcW w:w="4520" w:type="dxa"/>
            <w:vAlign w:val="bottom"/>
            <w:gridSpan w:val="2"/>
          </w:tcPr>
          <w:p>
            <w:pPr>
              <w:jc w:val="center"/>
              <w:ind w:right="380"/>
              <w:spacing w:after="0"/>
              <w:rPr>
                <w:sz w:val="20"/>
                <w:szCs w:val="20"/>
                <w:color w:val="auto"/>
              </w:rPr>
            </w:pPr>
            <w:r>
              <w:rPr>
                <w:rFonts w:ascii="Arial" w:cs="Arial" w:eastAsia="Arial" w:hAnsi="Arial"/>
                <w:sz w:val="16"/>
                <w:szCs w:val="16"/>
                <w:color w:val="auto"/>
              </w:rPr>
              <w:t>Hino</w:t>
            </w:r>
          </w:p>
        </w:tc>
        <w:tc>
          <w:tcPr>
            <w:tcW w:w="4600" w:type="dxa"/>
            <w:vAlign w:val="bottom"/>
          </w:tcPr>
          <w:p>
            <w:pPr>
              <w:jc w:val="center"/>
              <w:spacing w:after="0"/>
              <w:rPr>
                <w:sz w:val="20"/>
                <w:szCs w:val="20"/>
                <w:color w:val="auto"/>
              </w:rPr>
            </w:pPr>
            <w:r>
              <w:rPr>
                <w:rFonts w:ascii="Arial" w:cs="Arial" w:eastAsia="Arial" w:hAnsi="Arial"/>
                <w:sz w:val="16"/>
                <w:szCs w:val="16"/>
                <w:color w:val="auto"/>
                <w:w w:val="91"/>
              </w:rPr>
              <w:t>December 2009</w:t>
            </w:r>
          </w:p>
        </w:tc>
      </w:tr>
      <w:tr>
        <w:trPr>
          <w:trHeight w:val="196"/>
        </w:trPr>
        <w:tc>
          <w:tcPr>
            <w:tcW w:w="452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95"/>
              </w:rPr>
              <w:t>UD</w:t>
            </w:r>
          </w:p>
        </w:tc>
        <w:tc>
          <w:tcPr>
            <w:tcW w:w="4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September 2009 through Indefinite</w:t>
            </w:r>
          </w:p>
        </w:tc>
      </w:tr>
      <w:tr>
        <w:trPr>
          <w:trHeight w:val="196"/>
        </w:trPr>
        <w:tc>
          <w:tcPr>
            <w:tcW w:w="452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Ford</w:t>
            </w:r>
          </w:p>
        </w:tc>
        <w:tc>
          <w:tcPr>
            <w:tcW w:w="4600" w:type="dxa"/>
            <w:vAlign w:val="bottom"/>
          </w:tcPr>
          <w:p>
            <w:pPr>
              <w:jc w:val="center"/>
              <w:spacing w:after="0"/>
              <w:rPr>
                <w:sz w:val="20"/>
                <w:szCs w:val="20"/>
                <w:color w:val="auto"/>
              </w:rPr>
            </w:pPr>
            <w:r>
              <w:rPr>
                <w:rFonts w:ascii="Arial" w:cs="Arial" w:eastAsia="Arial" w:hAnsi="Arial"/>
                <w:sz w:val="16"/>
                <w:szCs w:val="16"/>
                <w:color w:val="auto"/>
                <w:w w:val="98"/>
              </w:rPr>
              <w:t>Indefinite</w:t>
            </w:r>
          </w:p>
        </w:tc>
      </w:tr>
      <w:tr>
        <w:trPr>
          <w:trHeight w:val="196"/>
        </w:trPr>
        <w:tc>
          <w:tcPr>
            <w:tcW w:w="452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color w:val="auto"/>
                <w:w w:val="98"/>
              </w:rPr>
              <w:t>Blue Bird</w:t>
            </w:r>
          </w:p>
        </w:tc>
        <w:tc>
          <w:tcPr>
            <w:tcW w:w="4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August 2013</w:t>
            </w:r>
          </w:p>
        </w:tc>
      </w:tr>
      <w:tr>
        <w:trPr>
          <w:trHeight w:val="208"/>
        </w:trPr>
        <w:tc>
          <w:tcPr>
            <w:tcW w:w="452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John Deere</w:t>
            </w:r>
          </w:p>
        </w:tc>
        <w:tc>
          <w:tcPr>
            <w:tcW w:w="4600" w:type="dxa"/>
            <w:vAlign w:val="bottom"/>
          </w:tcPr>
          <w:p>
            <w:pPr>
              <w:jc w:val="center"/>
              <w:spacing w:after="0"/>
              <w:rPr>
                <w:sz w:val="20"/>
                <w:szCs w:val="20"/>
                <w:color w:val="auto"/>
              </w:rPr>
            </w:pPr>
            <w:r>
              <w:rPr>
                <w:rFonts w:ascii="Arial" w:cs="Arial" w:eastAsia="Arial" w:hAnsi="Arial"/>
                <w:sz w:val="16"/>
                <w:szCs w:val="16"/>
                <w:color w:val="auto"/>
                <w:w w:val="98"/>
              </w:rPr>
              <w:t>Indefinite</w:t>
            </w:r>
          </w:p>
        </w:tc>
      </w:tr>
    </w:tbl>
    <w:p>
      <w:pPr>
        <w:spacing w:after="0" w:line="172" w:lineRule="exact"/>
        <w:rPr>
          <w:sz w:val="20"/>
          <w:szCs w:val="20"/>
          <w:color w:val="auto"/>
        </w:rPr>
      </w:pPr>
    </w:p>
    <w:p>
      <w:pPr>
        <w:ind w:left="2" w:right="180"/>
        <w:spacing w:after="0" w:line="271" w:lineRule="auto"/>
        <w:rPr>
          <w:sz w:val="20"/>
          <w:szCs w:val="20"/>
          <w:color w:val="auto"/>
        </w:rPr>
      </w:pPr>
      <w:r>
        <w:rPr>
          <w:rFonts w:ascii="Arial" w:cs="Arial" w:eastAsia="Arial" w:hAnsi="Arial"/>
          <w:sz w:val="16"/>
          <w:szCs w:val="16"/>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right="80"/>
        <w:spacing w:after="0" w:line="362" w:lineRule="auto"/>
        <w:rPr>
          <w:sz w:val="20"/>
          <w:szCs w:val="20"/>
          <w:color w:val="auto"/>
        </w:rPr>
      </w:pPr>
      <w:r>
        <w:rPr>
          <w:rFonts w:ascii="Arial" w:cs="Arial" w:eastAsia="Arial" w:hAnsi="Arial"/>
          <w:sz w:val="14"/>
          <w:szCs w:val="14"/>
          <w:color w:val="auto"/>
        </w:rPr>
        <w:t>The Company purchases its new Peterbilt vehicles and most of its parts from PACCAR, the maker of Peterbilt trucks and parts, at prevailing prices charged to all franchised dealers. Sales of new Peterbilt trucks accounted for approximately 83% of the Company’s new vehicle sales for the year ended December 31, 2008, and December 31, 2007.</w:t>
      </w:r>
    </w:p>
    <w:p>
      <w:pPr>
        <w:spacing w:after="0" w:line="103"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The Company purchases most of its new construction equipment and parts from John Deere at prevailing prices charged to all franchised dealers. Sales of new John Deere equipment accounted for approximately 86.6% of the Company’s new equipment sales for the year ended December 31, 2008, and 91.5% of the Company’s new equipment sales for the year ended December 31, 2007.</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Primary Lenders</w:t>
      </w:r>
    </w:p>
    <w:p>
      <w:pPr>
        <w:spacing w:after="0" w:line="209" w:lineRule="exact"/>
        <w:rPr>
          <w:sz w:val="20"/>
          <w:szCs w:val="20"/>
          <w:color w:val="auto"/>
        </w:rPr>
      </w:pPr>
    </w:p>
    <w:p>
      <w:pPr>
        <w:ind w:left="2" w:right="260"/>
        <w:spacing w:after="0" w:line="285" w:lineRule="auto"/>
        <w:rPr>
          <w:sz w:val="20"/>
          <w:szCs w:val="20"/>
          <w:color w:val="auto"/>
        </w:rPr>
      </w:pPr>
      <w:r>
        <w:rPr>
          <w:rFonts w:ascii="Arial" w:cs="Arial" w:eastAsia="Arial" w:hAnsi="Arial"/>
          <w:sz w:val="15"/>
          <w:szCs w:val="15"/>
          <w:color w:val="auto"/>
        </w:rPr>
        <w:t>The Company purchases its new and used vehicle and construction equipment inventories with the assistance of floor plan financing programs offered by various financial institutions and John Deere. Additional floor plan financing is provided by John Deere pursuant to the Company’s equipment dealership agreement. These agreements provide that the occurrence of certain events will be considered events of default. There were no known events of default as of December 31, 2008. In the event that the Company’s financing becomes insufficient, or its relationship with the current primary lenders terminates, the Company would need to obtain similar financing from other sources. Management believes it can obtain additional floor plan financing or alternative financing if necessary.</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Company’s debt agreements include certain restrictive covenants. The Company was in compliance with these and all debt covenants as of December 31, 2008.</w:t>
      </w:r>
    </w:p>
    <w:p>
      <w:pPr>
        <w:spacing w:after="0" w:line="22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Concentrations of Credit Risks</w:t>
      </w:r>
    </w:p>
    <w:p>
      <w:pPr>
        <w:spacing w:after="0" w:line="209" w:lineRule="exact"/>
        <w:rPr>
          <w:sz w:val="20"/>
          <w:szCs w:val="20"/>
          <w:color w:val="auto"/>
        </w:rPr>
      </w:pPr>
    </w:p>
    <w:p>
      <w:pPr>
        <w:ind w:left="2"/>
        <w:spacing w:after="0" w:line="27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As of December 31, 2008, the Company had deposits in excess of federal insurance protection totaling approximately $29.6 million.</w:t>
      </w:r>
    </w:p>
    <w:p>
      <w:pPr>
        <w:spacing w:after="0" w:line="162" w:lineRule="exact"/>
        <w:rPr>
          <w:sz w:val="20"/>
          <w:szCs w:val="20"/>
          <w:color w:val="auto"/>
        </w:rPr>
      </w:pPr>
    </w:p>
    <w:p>
      <w:pPr>
        <w:ind w:left="2" w:right="280"/>
        <w:spacing w:after="0" w:line="266" w:lineRule="auto"/>
        <w:rPr>
          <w:sz w:val="20"/>
          <w:szCs w:val="20"/>
          <w:color w:val="auto"/>
        </w:rPr>
      </w:pPr>
      <w:r>
        <w:rPr>
          <w:rFonts w:ascii="Arial" w:cs="Arial" w:eastAsia="Arial" w:hAnsi="Arial"/>
          <w:sz w:val="16"/>
          <w:szCs w:val="16"/>
          <w:color w:val="auto"/>
        </w:rPr>
        <w:t>The Company controls credit risk through credit approvals and by selling a majority of its trade receivables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heavy- and medium-duty truck and construction equipment markets and related aftermarkets.</w:t>
      </w:r>
    </w:p>
    <w:p>
      <w:pPr>
        <w:spacing w:after="0" w:line="166" w:lineRule="exact"/>
        <w:rPr>
          <w:sz w:val="20"/>
          <w:szCs w:val="20"/>
          <w:color w:val="auto"/>
        </w:rPr>
      </w:pPr>
    </w:p>
    <w:p>
      <w:pPr>
        <w:ind w:left="2" w:right="20"/>
        <w:spacing w:after="0" w:line="266" w:lineRule="auto"/>
        <w:rPr>
          <w:sz w:val="20"/>
          <w:szCs w:val="20"/>
          <w:color w:val="auto"/>
        </w:rPr>
      </w:pPr>
      <w:r>
        <w:rPr>
          <w:rFonts w:ascii="Arial" w:cs="Arial" w:eastAsia="Arial" w:hAnsi="Arial"/>
          <w:sz w:val="16"/>
          <w:szCs w:val="16"/>
          <w:color w:val="auto"/>
        </w:rPr>
        <w:t>The Company generally sells finance contracts it enters into with customers to finance the purchase of trucks or construction equipment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losses inherent in these receivables.</w:t>
      </w:r>
    </w:p>
    <w:p>
      <w:pPr>
        <w:spacing w:after="0" w:line="166" w:lineRule="exact"/>
        <w:rPr>
          <w:sz w:val="20"/>
          <w:szCs w:val="20"/>
          <w:color w:val="auto"/>
        </w:rPr>
      </w:pPr>
    </w:p>
    <w:p>
      <w:pPr>
        <w:ind w:left="402" w:hanging="402"/>
        <w:spacing w:after="0"/>
        <w:tabs>
          <w:tab w:leader="none" w:pos="40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Company’s accounts receivable, net, consisted of the following (in thousands):</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03"/>
              <w:spacing w:after="0" w:line="128"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1"/>
              <w:spacing w:after="0" w:line="128" w:lineRule="exact"/>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 accounts receivable from sale of vehicles and construction equipment</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60" w:type="dxa"/>
            <w:vAlign w:val="bottom"/>
            <w:gridSpan w:val="3"/>
          </w:tcPr>
          <w:p>
            <w:pPr>
              <w:spacing w:after="0"/>
              <w:rPr>
                <w:sz w:val="20"/>
                <w:szCs w:val="20"/>
                <w:color w:val="auto"/>
              </w:rPr>
            </w:pPr>
            <w:r>
              <w:rPr>
                <w:rFonts w:ascii="Arial" w:cs="Arial" w:eastAsia="Arial" w:hAnsi="Arial"/>
                <w:sz w:val="16"/>
                <w:szCs w:val="16"/>
                <w:color w:val="auto"/>
              </w:rPr>
              <w:t>Other trade receivables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10,390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6,605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Warranty claims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60" w:type="dxa"/>
            <w:vAlign w:val="bottom"/>
            <w:gridSpan w:val="3"/>
          </w:tcPr>
          <w:p>
            <w:pPr>
              <w:spacing w:after="0"/>
              <w:rPr>
                <w:sz w:val="20"/>
                <w:szCs w:val="20"/>
                <w:color w:val="auto"/>
              </w:rPr>
            </w:pPr>
            <w:r>
              <w:rPr>
                <w:rFonts w:ascii="Arial" w:cs="Arial" w:eastAsia="Arial" w:hAnsi="Arial"/>
                <w:sz w:val="16"/>
                <w:szCs w:val="16"/>
                <w:color w:val="auto"/>
              </w:rPr>
              <w:t>Other accounts receivable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12,117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13,173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allowance for bad debt and warranty receivable</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(511 )</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(327 )</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55,274</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48,781</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6"/>
                <w:szCs w:val="16"/>
                <w:color w:val="auto"/>
              </w:rPr>
              <w:t>5.</w:t>
            </w:r>
          </w:p>
        </w:tc>
        <w:tc>
          <w:tcPr>
            <w:tcW w:w="8560" w:type="dxa"/>
            <w:vAlign w:val="bottom"/>
            <w:gridSpan w:val="2"/>
            <w:vMerge w:val="restart"/>
          </w:tcPr>
          <w:p>
            <w:pPr>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00" w:type="dxa"/>
            <w:vAlign w:val="bottom"/>
            <w:vMerge w:val="continue"/>
          </w:tcPr>
          <w:p>
            <w:pPr>
              <w:spacing w:after="0"/>
              <w:rPr>
                <w:sz w:val="24"/>
                <w:szCs w:val="24"/>
                <w:color w:val="auto"/>
              </w:rPr>
            </w:pPr>
          </w:p>
        </w:tc>
        <w:tc>
          <w:tcPr>
            <w:tcW w:w="8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960" w:type="dxa"/>
            <w:vAlign w:val="bottom"/>
            <w:gridSpan w:val="3"/>
          </w:tcPr>
          <w:p>
            <w:pPr>
              <w:spacing w:after="0"/>
              <w:rPr>
                <w:sz w:val="20"/>
                <w:szCs w:val="20"/>
                <w:color w:val="auto"/>
              </w:rPr>
            </w:pPr>
            <w:r>
              <w:rPr>
                <w:rFonts w:ascii="Arial" w:cs="Arial" w:eastAsia="Arial" w:hAnsi="Arial"/>
                <w:sz w:val="16"/>
                <w:szCs w:val="16"/>
                <w:color w:val="auto"/>
              </w:rPr>
              <w:t>The Company’s inventories consisted of the following (in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03"/>
              <w:spacing w:after="0" w:line="128"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1"/>
              <w:spacing w:after="0" w:line="128" w:lineRule="exact"/>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New vehicles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233,712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223,444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60" w:type="dxa"/>
            <w:vAlign w:val="bottom"/>
            <w:gridSpan w:val="3"/>
          </w:tcPr>
          <w:p>
            <w:pPr>
              <w:spacing w:after="0"/>
              <w:rPr>
                <w:sz w:val="20"/>
                <w:szCs w:val="20"/>
                <w:color w:val="auto"/>
              </w:rPr>
            </w:pPr>
            <w:r>
              <w:rPr>
                <w:rFonts w:ascii="Arial" w:cs="Arial" w:eastAsia="Arial" w:hAnsi="Arial"/>
                <w:sz w:val="16"/>
                <w:szCs w:val="16"/>
                <w:color w:val="auto"/>
              </w:rPr>
              <w:t>Used vehicles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23,081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New construction equipment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2"/>
          </w:cols>
          <w:pgMar w:left="238" w:top="120" w:right="239" w:bottom="0" w:gutter="0" w:footer="0" w:header="0"/>
        </w:sectPr>
      </w:pPr>
    </w:p>
    <w:bookmarkStart w:id="32" w:name="page33"/>
    <w:bookmarkEnd w:id="32"/>
    <w:p>
      <w:pPr>
        <w:ind w:left="2"/>
        <w:spacing w:after="0"/>
        <w:rPr>
          <w:sz w:val="20"/>
          <w:szCs w:val="20"/>
          <w:color w:val="auto"/>
        </w:rPr>
      </w:pPr>
      <w:r>
        <w:rPr>
          <w:rFonts w:ascii="Arial" w:cs="Arial" w:eastAsia="Arial" w:hAnsi="Arial"/>
          <w:sz w:val="16"/>
          <w:szCs w:val="16"/>
          <w:color w:val="auto"/>
        </w:rPr>
        <w:t>Used construction equipment</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Parts and accessories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Other</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Less allowance</w:t>
      </w:r>
    </w:p>
    <w:p>
      <w:pPr>
        <w:spacing w:after="0" w:line="222" w:lineRule="exact"/>
        <w:rPr>
          <w:sz w:val="20"/>
          <w:szCs w:val="20"/>
          <w:color w:val="auto"/>
        </w:rPr>
      </w:pPr>
    </w:p>
    <w:p>
      <w:pPr>
        <w:ind w:left="2"/>
        <w:spacing w:after="0"/>
        <w:rPr>
          <w:sz w:val="20"/>
          <w:szCs w:val="20"/>
          <w:color w:val="auto"/>
        </w:rPr>
      </w:pPr>
      <w:r>
        <w:rPr>
          <w:rFonts w:ascii="Arial" w:cs="Arial" w:eastAsia="Arial" w:hAnsi="Arial"/>
          <w:sz w:val="16"/>
          <w:szCs w:val="16"/>
          <w:color w:val="auto"/>
        </w:rPr>
        <w:t>Total</w:t>
      </w:r>
    </w:p>
    <w:p>
      <w:pPr>
        <w:spacing w:after="0" w:line="233" w:lineRule="exact"/>
        <w:rPr>
          <w:sz w:val="20"/>
          <w:szCs w:val="20"/>
          <w:color w:val="auto"/>
        </w:rPr>
      </w:pPr>
    </w:p>
    <w:p>
      <w:pPr>
        <w:ind w:left="162" w:hanging="162"/>
        <w:spacing w:after="0"/>
        <w:tabs>
          <w:tab w:leader="none" w:pos="16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VALUATION ACCOUNTS: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4"/>
          <w:szCs w:val="14"/>
          <w:color w:val="auto"/>
        </w:rPr>
        <w:t>Valuation and allowance accounts include the following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68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87,883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95,019</w:t>
            </w:r>
          </w:p>
        </w:tc>
        <w:tc>
          <w:tcPr>
            <w:tcW w:w="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5,058</w:t>
            </w:r>
          </w:p>
        </w:tc>
        <w:tc>
          <w:tcPr>
            <w:tcW w:w="80" w:type="dxa"/>
            <w:vAlign w:val="bottom"/>
          </w:tcPr>
          <w:p>
            <w:pPr>
              <w:spacing w:after="0"/>
              <w:rPr>
                <w:sz w:val="17"/>
                <w:szCs w:val="17"/>
                <w:color w:val="auto"/>
              </w:rPr>
            </w:pPr>
          </w:p>
        </w:tc>
      </w:tr>
      <w:tr>
        <w:trPr>
          <w:trHeight w:val="208"/>
        </w:trPr>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(5,799 )</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(5,069 )</w:t>
            </w:r>
          </w:p>
        </w:tc>
      </w:tr>
      <w:tr>
        <w:trPr>
          <w:trHeight w:val="385"/>
        </w:trPr>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362,234</w:t>
            </w:r>
          </w:p>
        </w:tc>
        <w:tc>
          <w:tcPr>
            <w:tcW w:w="2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365,947</w:t>
            </w:r>
          </w:p>
        </w:tc>
        <w:tc>
          <w:tcPr>
            <w:tcW w:w="80" w:type="dxa"/>
            <w:vAlign w:val="bottom"/>
          </w:tcPr>
          <w:p>
            <w:pPr>
              <w:spacing w:after="0"/>
              <w:rPr>
                <w:sz w:val="24"/>
                <w:szCs w:val="24"/>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-653415</wp:posOffset>
            </wp:positionV>
            <wp:extent cx="7259320" cy="1244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320" cy="12446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-404495</wp:posOffset>
            </wp:positionV>
            <wp:extent cx="7259320" cy="1244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320" cy="12446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-147320</wp:posOffset>
            </wp:positionV>
            <wp:extent cx="7259320" cy="132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Balance</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Net Charged to</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Balance</w:t>
            </w:r>
          </w:p>
        </w:tc>
      </w:tr>
      <w:tr>
        <w:trPr>
          <w:trHeight w:val="135"/>
        </w:trPr>
        <w:tc>
          <w:tcPr>
            <w:tcW w:w="12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Beginning</w:t>
            </w:r>
          </w:p>
        </w:tc>
        <w:tc>
          <w:tcPr>
            <w:tcW w:w="12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Costs and</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End</w:t>
            </w:r>
          </w:p>
        </w:tc>
      </w:tr>
      <w:tr>
        <w:trPr>
          <w:trHeight w:val="15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 Year</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Expenses</w:t>
            </w:r>
          </w:p>
        </w:tc>
        <w:tc>
          <w:tcPr>
            <w:tcW w:w="160" w:type="dxa"/>
            <w:vAlign w:val="bottom"/>
          </w:tcPr>
          <w:p>
            <w:pPr>
              <w:spacing w:after="0"/>
              <w:rPr>
                <w:sz w:val="13"/>
                <w:szCs w:val="13"/>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Acquisitions</w:t>
            </w:r>
          </w:p>
        </w:tc>
        <w:tc>
          <w:tcPr>
            <w:tcW w:w="180" w:type="dxa"/>
            <w:vAlign w:val="bottom"/>
          </w:tcPr>
          <w:p>
            <w:pPr>
              <w:spacing w:after="0"/>
              <w:rPr>
                <w:sz w:val="13"/>
                <w:szCs w:val="13"/>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Net Write-Offs</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 Year</w:t>
            </w:r>
          </w:p>
        </w:tc>
      </w:tr>
    </w:tbl>
    <w:p>
      <w:pPr>
        <w:spacing w:after="0" w:line="196" w:lineRule="exact"/>
        <w:rPr>
          <w:sz w:val="20"/>
          <w:szCs w:val="20"/>
          <w:color w:val="auto"/>
        </w:rPr>
      </w:pPr>
    </w:p>
    <w:p>
      <w:pPr>
        <w:sectPr>
          <w:pgSz w:w="11900" w:h="16838" w:orient="portrait"/>
          <w:cols w:equalWidth="0" w:num="2">
            <w:col w:w="4682" w:space="600"/>
            <w:col w:w="6180"/>
          </w:cols>
          <w:pgMar w:left="238" w:top="127" w:right="199" w:bottom="0" w:gutter="0" w:footer="0" w:header="0"/>
        </w:sectPr>
      </w:pPr>
    </w:p>
    <w:tbl>
      <w:tblPr>
        <w:tblLayout w:type="fixed"/>
        <w:tblInd w:w="2" w:type="dxa"/>
        <w:tblCellMar>
          <w:top w:w="0" w:type="dxa"/>
          <w:left w:w="0" w:type="dxa"/>
          <w:bottom w:w="0" w:type="dxa"/>
          <w:right w:w="0" w:type="dxa"/>
        </w:tblCellMar>
      </w:tblP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Reserve for warranty receivable and accounts receivable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Pr>
          <w:p>
            <w:pPr>
              <w:spacing w:after="0"/>
              <w:rPr>
                <w:sz w:val="17"/>
                <w:szCs w:val="17"/>
                <w:color w:val="auto"/>
              </w:rPr>
            </w:pP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300"/>
              <w:spacing w:after="0"/>
              <w:rPr>
                <w:sz w:val="20"/>
                <w:szCs w:val="20"/>
                <w:color w:val="auto"/>
              </w:rPr>
            </w:pPr>
            <w:r>
              <w:rPr>
                <w:rFonts w:ascii="Arial" w:cs="Arial" w:eastAsia="Arial" w:hAnsi="Arial"/>
                <w:sz w:val="16"/>
                <w:szCs w:val="16"/>
                <w:color w:val="auto"/>
              </w:rPr>
              <w:t>(285 )  $</w:t>
            </w:r>
          </w:p>
        </w:tc>
        <w:tc>
          <w:tcPr>
            <w:tcW w:w="680" w:type="dxa"/>
            <w:vAlign w:val="bottom"/>
          </w:tcPr>
          <w:p>
            <w:pPr>
              <w:jc w:val="right"/>
              <w:spacing w:after="0"/>
              <w:rPr>
                <w:sz w:val="20"/>
                <w:szCs w:val="20"/>
                <w:color w:val="auto"/>
              </w:rPr>
            </w:pPr>
            <w:r>
              <w:rPr>
                <w:rFonts w:ascii="Arial" w:cs="Arial" w:eastAsia="Arial" w:hAnsi="Arial"/>
                <w:sz w:val="16"/>
                <w:szCs w:val="16"/>
                <w:color w:val="auto"/>
              </w:rPr>
              <w:t>511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Reserve for parts inventory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(1,238 )</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Reserve for equipment inventory</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911</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(516 )</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Reserve for truck inventory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15,413</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(15,088 )</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5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2007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Reserve for warranty receivable and accounts receivable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(369 )</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Reserve for parts inventory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(1,548 )</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Reserve for equipment inventory</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(31 )</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(49 )</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Reserve for truck inventory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(6,829 )</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5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2006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Reserve for warranty receivable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676</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(480 )</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Reserve for parts inventory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(2,315 )</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color w:val="auto"/>
              </w:rPr>
              <w:t>Reserve for equipment inventory</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(35 )</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Reserve for truck inventory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(2,359 )</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384"/>
        </w:trPr>
        <w:tc>
          <w:tcPr>
            <w:tcW w:w="5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438"/>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528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340" w:type="dxa"/>
            <w:vAlign w:val="bottom"/>
            <w:tcBorders>
              <w:bottom w:val="single" w:sz="8" w:color="010101"/>
            </w:tcBorders>
          </w:tcPr>
          <w:p>
            <w:pPr>
              <w:spacing w:after="0"/>
              <w:rPr>
                <w:sz w:val="10"/>
                <w:szCs w:val="10"/>
                <w:color w:val="auto"/>
              </w:rPr>
            </w:pPr>
          </w:p>
        </w:tc>
        <w:tc>
          <w:tcPr>
            <w:tcW w:w="72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60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74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68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3"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Allowance for Doubtful Receivables</w:t>
      </w:r>
    </w:p>
    <w:p>
      <w:pPr>
        <w:spacing w:after="0" w:line="209" w:lineRule="exact"/>
        <w:rPr>
          <w:sz w:val="20"/>
          <w:szCs w:val="20"/>
          <w:color w:val="auto"/>
        </w:rPr>
      </w:pPr>
    </w:p>
    <w:p>
      <w:pPr>
        <w:ind w:left="2" w:right="180"/>
        <w:spacing w:after="0" w:line="263" w:lineRule="auto"/>
        <w:rPr>
          <w:sz w:val="20"/>
          <w:szCs w:val="20"/>
          <w:color w:val="auto"/>
        </w:rPr>
      </w:pPr>
      <w:r>
        <w:rPr>
          <w:rFonts w:ascii="Arial" w:cs="Arial" w:eastAsia="Arial" w:hAnsi="Arial"/>
          <w:sz w:val="16"/>
          <w:szCs w:val="16"/>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 The Company sells a majority of its customer accounts receivable on a non-recourse basis to a third party that is responsible for qualifying the customer for credit at the point of sale. If the third party approves the customer for credit, then the third party assumes all credit risk related to the transaction.</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Inventory</w:t>
      </w:r>
    </w:p>
    <w:p>
      <w:pPr>
        <w:spacing w:after="0" w:line="209" w:lineRule="exact"/>
        <w:rPr>
          <w:sz w:val="20"/>
          <w:szCs w:val="20"/>
          <w:color w:val="auto"/>
        </w:rPr>
      </w:pPr>
    </w:p>
    <w:p>
      <w:pPr>
        <w:ind w:left="2" w:right="360"/>
        <w:spacing w:after="0" w:line="362" w:lineRule="auto"/>
        <w:rPr>
          <w:sz w:val="20"/>
          <w:szCs w:val="20"/>
          <w:color w:val="auto"/>
        </w:rPr>
      </w:pPr>
      <w:r>
        <w:rPr>
          <w:rFonts w:ascii="Arial" w:cs="Arial" w:eastAsia="Arial" w:hAnsi="Arial"/>
          <w:sz w:val="14"/>
          <w:szCs w:val="14"/>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03" w:lineRule="exact"/>
        <w:rPr>
          <w:sz w:val="20"/>
          <w:szCs w:val="20"/>
          <w:color w:val="auto"/>
        </w:rPr>
      </w:pPr>
    </w:p>
    <w:p>
      <w:pPr>
        <w:ind w:left="2" w:right="100"/>
        <w:spacing w:after="0" w:line="286" w:lineRule="auto"/>
        <w:rPr>
          <w:sz w:val="20"/>
          <w:szCs w:val="20"/>
          <w:color w:val="auto"/>
        </w:rPr>
      </w:pPr>
      <w:r>
        <w:rPr>
          <w:rFonts w:ascii="Arial" w:cs="Arial" w:eastAsia="Arial" w:hAnsi="Arial"/>
          <w:sz w:val="16"/>
          <w:szCs w:val="16"/>
          <w:color w:val="auto"/>
        </w:rPr>
        <w:t>The valuation for new and used truck and equipment inventory is based on specific identification. A detail of new and used truck and equipment inventory is reviewed and, if necessary, adjustments to the value of specific units are made on a quarterly basis.</w:t>
      </w:r>
    </w:p>
    <w:p>
      <w:pPr>
        <w:spacing w:after="0" w:line="150" w:lineRule="exact"/>
        <w:rPr>
          <w:sz w:val="20"/>
          <w:szCs w:val="20"/>
          <w:color w:val="auto"/>
        </w:rPr>
      </w:pPr>
    </w:p>
    <w:p>
      <w:pPr>
        <w:ind w:left="2" w:right="6900" w:hanging="2"/>
        <w:spacing w:after="0" w:line="512" w:lineRule="auto"/>
        <w:tabs>
          <w:tab w:leader="none" w:pos="41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FLOOR PLAN NOTES PAYABLE AND LINES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Floor Plan Notes Payable</w:t>
      </w:r>
    </w:p>
    <w:p>
      <w:pPr>
        <w:ind w:left="2" w:right="40"/>
        <w:spacing w:after="0" w:line="262" w:lineRule="auto"/>
        <w:rPr>
          <w:sz w:val="20"/>
          <w:szCs w:val="20"/>
          <w:color w:val="auto"/>
        </w:rPr>
      </w:pPr>
      <w:r>
        <w:rPr>
          <w:rFonts w:ascii="Arial" w:cs="Arial" w:eastAsia="Arial" w:hAnsi="Arial"/>
          <w:sz w:val="16"/>
          <w:szCs w:val="16"/>
          <w:color w:val="auto"/>
        </w:rPr>
        <w:t>Floor plan notes are financing agreements to facilitate the Company’s purchase of new and used trucks and construction equipment. These notes are collateralized by the inventory purchased and accounts receivable arising from the sale thereof. The Company’s floor plan notes have interest rates based on the prime rate or LIBOR, as defined in the agreements. The interest rates applicable to these agreements ranged from approximately 1.75% to 4.75% as of December 31, 2008. Amounts borrowed under these agreements are due when the related truck or construction equipment inventory (collateral) is sold and the sales proceeds are collected by the Company, or in the case of construction equipment rentals, when the carrying value of the equipment is reduced. These agreements may be modified, suspended or terminated by the lender as described in Note 3.</w:t>
      </w:r>
    </w:p>
    <w:p>
      <w:pPr>
        <w:spacing w:after="0" w:line="169" w:lineRule="exact"/>
        <w:rPr>
          <w:sz w:val="20"/>
          <w:szCs w:val="20"/>
          <w:color w:val="auto"/>
        </w:rPr>
      </w:pPr>
    </w:p>
    <w:p>
      <w:pPr>
        <w:jc w:val="both"/>
        <w:ind w:left="2" w:right="80"/>
        <w:spacing w:after="0" w:line="271" w:lineRule="auto"/>
        <w:rPr>
          <w:sz w:val="20"/>
          <w:szCs w:val="20"/>
          <w:color w:val="auto"/>
        </w:rPr>
      </w:pPr>
      <w:r>
        <w:rPr>
          <w:rFonts w:ascii="Arial" w:cs="Arial" w:eastAsia="Arial" w:hAnsi="Arial"/>
          <w:sz w:val="16"/>
          <w:szCs w:val="16"/>
          <w:color w:val="auto"/>
        </w:rPr>
        <w:t>The Company finances substantially all of the purchase price of its new truck inventory, and the loan value of its used truck inventory under a floor plan financing agreement with GE Capital, under which GE Capital pays the manufacturer directly with respect to new trucks. On December 31, 2008, the Company had approximately $266.0 million outstanding under its floor plan financing agreement with GE Capital.</w:t>
      </w:r>
    </w:p>
    <w:p>
      <w:pPr>
        <w:spacing w:after="0" w:line="162" w:lineRule="exact"/>
        <w:rPr>
          <w:sz w:val="20"/>
          <w:szCs w:val="20"/>
          <w:color w:val="auto"/>
        </w:rPr>
      </w:pPr>
    </w:p>
    <w:p>
      <w:pPr>
        <w:ind w:left="2" w:right="80"/>
        <w:spacing w:after="0" w:line="266" w:lineRule="auto"/>
        <w:rPr>
          <w:sz w:val="20"/>
          <w:szCs w:val="20"/>
          <w:color w:val="auto"/>
        </w:rPr>
      </w:pPr>
      <w:r>
        <w:rPr>
          <w:rFonts w:ascii="Arial" w:cs="Arial" w:eastAsia="Arial" w:hAnsi="Arial"/>
          <w:sz w:val="16"/>
          <w:szCs w:val="16"/>
          <w:color w:val="auto"/>
        </w:rPr>
        <w:t>The Company’s floor plan agreement with Chase is based on the book value of the Company’s construction equipment inventory. As of December 31, 2008, the aggregate amount of borrowing capacity with this lender was $20.0 million, with approximately $13.0 million outstanding. Additional amounts are available for construction equipment inventory purchases under the Company’s John Deere dealership agreement. At December 31, 2008, approximately $3.7 million was outstanding pursuant to the John Deere dealership agreement.</w:t>
      </w:r>
    </w:p>
    <w:p>
      <w:pPr>
        <w:spacing w:after="0" w:line="166"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Assets pledged as collateral as of December 31, 2008 and 2007 were as follows (in thousands):</w:t>
      </w:r>
    </w:p>
    <w:p>
      <w:pPr>
        <w:spacing w:after="0" w:line="201"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3810</wp:posOffset>
            </wp:positionV>
            <wp:extent cx="173672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36725" cy="7620"/>
                    </a:xfrm>
                    <a:prstGeom prst="rect">
                      <a:avLst/>
                    </a:prstGeom>
                    <a:noFill/>
                  </pic:spPr>
                </pic:pic>
              </a:graphicData>
            </a:graphic>
          </wp:anchor>
        </w:drawing>
      </w:r>
    </w:p>
    <w:p>
      <w:pPr>
        <w:ind w:left="9002"/>
        <w:spacing w:after="0"/>
        <w:tabs>
          <w:tab w:leader="none" w:pos="10461" w:val="left"/>
        </w:tabs>
        <w:rPr>
          <w:sz w:val="20"/>
          <w:szCs w:val="20"/>
          <w:color w:val="auto"/>
        </w:rPr>
      </w:pPr>
      <w:r>
        <w:rPr>
          <w:rFonts w:ascii="Arial" w:cs="Arial" w:eastAsia="Arial" w:hAnsi="Arial"/>
          <w:sz w:val="13"/>
          <w:szCs w:val="13"/>
          <w:b w:val="1"/>
          <w:bCs w:val="1"/>
          <w:color w:val="auto"/>
        </w:rPr>
        <w:t>2008</w:t>
      </w:r>
      <w:r>
        <w:rPr>
          <w:sz w:val="20"/>
          <w:szCs w:val="20"/>
          <w:color w:val="auto"/>
        </w:rPr>
        <w:tab/>
      </w: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259320" cy="132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ectPr>
          <w:pgSz w:w="11900" w:h="16838" w:orient="portrait"/>
          <w:cols w:equalWidth="0" w:num="1">
            <w:col w:w="11462"/>
          </w:cols>
          <w:pgMar w:left="238" w:top="127" w:right="199" w:bottom="0" w:gutter="0" w:footer="0" w:header="0"/>
          <w:type w:val="continuous"/>
        </w:sectPr>
      </w:pPr>
    </w:p>
    <w:p>
      <w:pPr>
        <w:spacing w:after="0" w:line="5" w:lineRule="exact"/>
        <w:rPr>
          <w:sz w:val="20"/>
          <w:szCs w:val="20"/>
          <w:color w:val="auto"/>
        </w:rPr>
      </w:pPr>
    </w:p>
    <w:p>
      <w:pPr>
        <w:ind w:left="2"/>
        <w:spacing w:after="0"/>
        <w:tabs>
          <w:tab w:leader="none" w:pos="8481" w:val="left"/>
          <w:tab w:leader="none" w:pos="9181" w:val="left"/>
          <w:tab w:leader="none" w:pos="9981" w:val="left"/>
          <w:tab w:leader="none" w:pos="10681" w:val="left"/>
        </w:tabs>
        <w:rPr>
          <w:sz w:val="20"/>
          <w:szCs w:val="20"/>
          <w:color w:val="auto"/>
        </w:rPr>
      </w:pPr>
      <w:r>
        <w:rPr>
          <w:rFonts w:ascii="Arial" w:cs="Arial" w:eastAsia="Arial" w:hAnsi="Arial"/>
          <w:sz w:val="16"/>
          <w:szCs w:val="16"/>
          <w:color w:val="auto"/>
        </w:rPr>
        <w:t>Inventories, new and used trucks and construction equipment at cost based on specific identification, net of allowance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270,630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267,472</w:t>
      </w:r>
    </w:p>
    <w:p>
      <w:pPr>
        <w:sectPr>
          <w:pgSz w:w="11900" w:h="16838" w:orient="portrait"/>
          <w:cols w:equalWidth="0" w:num="1">
            <w:col w:w="11462"/>
          </w:cols>
          <w:pgMar w:left="238" w:top="127" w:right="199" w:bottom="0" w:gutter="0" w:footer="0" w:header="0"/>
          <w:type w:val="continuous"/>
        </w:sectPr>
      </w:pPr>
    </w:p>
    <w:bookmarkStart w:id="33" w:name="page34"/>
    <w:bookmarkEnd w:id="33"/>
    <w:tbl>
      <w:tblPr>
        <w:tblLayout w:type="fixed"/>
        <w:tblInd w:w="2" w:type="dxa"/>
        <w:tblCellMar>
          <w:top w:w="0" w:type="dxa"/>
          <w:left w:w="0" w:type="dxa"/>
          <w:bottom w:w="0" w:type="dxa"/>
          <w:right w:w="0" w:type="dxa"/>
        </w:tblCellMar>
      </w:tblPr>
      <w:tr>
        <w:trPr>
          <w:trHeight w:val="208"/>
        </w:trPr>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Truck and construction equipment sale related accounts receivable</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25,185</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spacing w:after="0"/>
              <w:rPr>
                <w:sz w:val="16"/>
                <w:szCs w:val="16"/>
                <w:color w:val="auto"/>
              </w:rPr>
            </w:pPr>
          </w:p>
        </w:tc>
        <w:tc>
          <w:tcPr>
            <w:tcW w:w="7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295,815</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980" w:type="dxa"/>
            <w:vAlign w:val="bottom"/>
            <w:shd w:val="clear" w:color="auto" w:fill="CCEEFF"/>
          </w:tcPr>
          <w:p>
            <w:pPr>
              <w:spacing w:after="0"/>
              <w:rPr>
                <w:sz w:val="15"/>
                <w:szCs w:val="15"/>
                <w:color w:val="auto"/>
              </w:rPr>
            </w:pPr>
          </w:p>
        </w:tc>
        <w:tc>
          <w:tcPr>
            <w:tcW w:w="7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00" w:type="dxa"/>
            <w:vAlign w:val="bottom"/>
            <w:gridSpan w:val="2"/>
          </w:tcPr>
          <w:p>
            <w:pPr>
              <w:spacing w:after="0"/>
              <w:rPr>
                <w:sz w:val="20"/>
                <w:szCs w:val="20"/>
                <w:color w:val="auto"/>
              </w:rPr>
            </w:pPr>
            <w:r>
              <w:rPr>
                <w:rFonts w:ascii="Arial" w:cs="Arial" w:eastAsia="Arial" w:hAnsi="Arial"/>
                <w:sz w:val="16"/>
                <w:szCs w:val="16"/>
                <w:color w:val="auto"/>
              </w:rPr>
              <w:t>Floor plan notes payable related to truck and construction equipment</w:t>
            </w: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282,702</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6"/>
                <w:szCs w:val="16"/>
                <w:color w:val="auto"/>
              </w:rPr>
              <w:t>Lines of Credit</w:t>
            </w: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5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 w:right="80"/>
        <w:spacing w:after="0" w:line="285" w:lineRule="auto"/>
        <w:rPr>
          <w:sz w:val="20"/>
          <w:szCs w:val="20"/>
          <w:color w:val="auto"/>
        </w:rPr>
      </w:pPr>
      <w:r>
        <w:rPr>
          <w:rFonts w:ascii="Arial" w:cs="Arial" w:eastAsia="Arial" w:hAnsi="Arial"/>
          <w:sz w:val="15"/>
          <w:szCs w:val="15"/>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owed to GE Capital. There were no working capital advances outstanding under this agreement at December 31, 2008. The Company has a secured line of credit that provides for a maximum borrowing of $8.0 million. There were no advances outstanding under this secured line of credit at December 31, 2008, however, $5.9 million was pledged to secure various letters of credit related to self-insurance products, leaving $2.1 million available for future borrowings as of December 31, 2008.</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color w:val="auto"/>
              </w:rPr>
              <w:t>8.</w:t>
            </w:r>
          </w:p>
        </w:tc>
        <w:tc>
          <w:tcPr>
            <w:tcW w:w="662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8"/>
        </w:trPr>
        <w:tc>
          <w:tcPr>
            <w:tcW w:w="7020" w:type="dxa"/>
            <w:vAlign w:val="bottom"/>
            <w:gridSpan w:val="4"/>
          </w:tcPr>
          <w:p>
            <w:pPr>
              <w:spacing w:after="0"/>
              <w:rPr>
                <w:sz w:val="20"/>
                <w:szCs w:val="20"/>
                <w:color w:val="auto"/>
              </w:rPr>
            </w:pPr>
            <w:r>
              <w:rPr>
                <w:rFonts w:ascii="Arial" w:cs="Arial" w:eastAsia="Arial" w:hAnsi="Arial"/>
                <w:sz w:val="16"/>
                <w:szCs w:val="16"/>
                <w:color w:val="auto"/>
              </w:rPr>
              <w:t>Long-term debt was comprised of the following (in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2"/>
        </w:trPr>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7"/>
        </w:trPr>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83"/>
              <w:spacing w:after="0" w:line="128" w:lineRule="exact"/>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line="12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r>
      <w:tr>
        <w:trPr>
          <w:trHeight w:val="189"/>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Variable interest rate term notes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18,171</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60" w:type="dxa"/>
            <w:vAlign w:val="bottom"/>
            <w:shd w:val="clear" w:color="auto" w:fill="CCEEFF"/>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Fixed interest rate term notes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191,505</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195,745</w:t>
            </w:r>
          </w:p>
        </w:tc>
        <w:tc>
          <w:tcPr>
            <w:tcW w:w="160" w:type="dxa"/>
            <w:vAlign w:val="bottom"/>
            <w:tcBorders>
              <w:bottom w:val="single" w:sz="8" w:color="CCEEFF"/>
            </w:tcBorders>
          </w:tcPr>
          <w:p>
            <w:pPr>
              <w:spacing w:after="0"/>
              <w:rPr>
                <w:sz w:val="17"/>
                <w:szCs w:val="17"/>
                <w:color w:val="auto"/>
              </w:rPr>
            </w:pPr>
          </w:p>
        </w:tc>
      </w:tr>
      <w:tr>
        <w:trPr>
          <w:trHeight w:val="189"/>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209,676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198,945</w:t>
            </w:r>
          </w:p>
        </w:tc>
        <w:tc>
          <w:tcPr>
            <w:tcW w:w="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Less- current maturities</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(37,665 )</w:t>
            </w:r>
          </w:p>
        </w:tc>
        <w:tc>
          <w:tcPr>
            <w:tcW w:w="4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(33,593 )</w:t>
            </w:r>
          </w:p>
        </w:tc>
      </w:tr>
      <w:tr>
        <w:trPr>
          <w:trHeight w:val="189"/>
        </w:trPr>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172,011</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165,352</w:t>
            </w:r>
          </w:p>
        </w:tc>
        <w:tc>
          <w:tcPr>
            <w:tcW w:w="1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220" w:type="dxa"/>
            <w:vAlign w:val="bottom"/>
            <w:gridSpan w:val="2"/>
          </w:tcPr>
          <w:p>
            <w:pPr>
              <w:spacing w:after="0"/>
              <w:rPr>
                <w:sz w:val="20"/>
                <w:szCs w:val="20"/>
                <w:color w:val="auto"/>
              </w:rPr>
            </w:pPr>
            <w:r>
              <w:rPr>
                <w:rFonts w:ascii="Arial" w:cs="Arial" w:eastAsia="Arial" w:hAnsi="Arial"/>
                <w:sz w:val="16"/>
                <w:szCs w:val="16"/>
                <w:color w:val="auto"/>
              </w:rPr>
              <w:t>As of December 31, 2008, debt maturities were as follows (in thousands):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4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2009</w:t>
            </w: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2010</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55,510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2012</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interest rates on the Company’s variable interest rate notes are based on LIBOR. The interest rates on the notes range from approximately 2.68% to 2.94% on</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color w:val="auto"/>
        </w:rPr>
        <w:t>December 31, 2008. Payments on the notes range from $12,578 to $24,667 per month, plus interest. Maturities of these notes range from December 2012 to December 2013.</w:t>
      </w:r>
    </w:p>
    <w:p>
      <w:pPr>
        <w:spacing w:after="0" w:line="22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right="420"/>
        <w:spacing w:after="0" w:line="322" w:lineRule="auto"/>
        <w:rPr>
          <w:sz w:val="20"/>
          <w:szCs w:val="20"/>
          <w:color w:val="auto"/>
        </w:rPr>
      </w:pPr>
      <w:r>
        <w:rPr>
          <w:rFonts w:ascii="Arial" w:cs="Arial" w:eastAsia="Arial" w:hAnsi="Arial"/>
          <w:sz w:val="15"/>
          <w:szCs w:val="15"/>
          <w:color w:val="auto"/>
        </w:rPr>
        <w:t>The Company’s fixed interest rate notes are primarily with financial institutions and had interest rates that ranged from approximately 3.66% to 8.50% on December 31, 2008. Payments on the notes range from $168 to $76,196 per month, plus interest. Maturities of these notes range from January 2009 to September 2016.</w:t>
      </w:r>
    </w:p>
    <w:p>
      <w:pPr>
        <w:spacing w:after="0" w:line="126" w:lineRule="exact"/>
        <w:rPr>
          <w:sz w:val="20"/>
          <w:szCs w:val="20"/>
          <w:color w:val="auto"/>
        </w:rPr>
      </w:pPr>
    </w:p>
    <w:p>
      <w:pPr>
        <w:ind w:left="2" w:right="160"/>
        <w:spacing w:after="0" w:line="286" w:lineRule="auto"/>
        <w:rPr>
          <w:sz w:val="20"/>
          <w:szCs w:val="20"/>
          <w:color w:val="auto"/>
        </w:rPr>
      </w:pPr>
      <w:r>
        <w:rPr>
          <w:rFonts w:ascii="Arial" w:cs="Arial" w:eastAsia="Arial" w:hAnsi="Arial"/>
          <w:sz w:val="16"/>
          <w:szCs w:val="16"/>
          <w:color w:val="auto"/>
        </w:rPr>
        <w:t>The proceeds from the issuance of the notes were used primarily to acquire land, buildings and improvements, transportation equipment and leasing vehicles. The notes are secured by the assets acquired with the proceeds of such notes.</w:t>
      </w:r>
    </w:p>
    <w:p>
      <w:pPr>
        <w:spacing w:after="0" w:line="150" w:lineRule="exact"/>
        <w:rPr>
          <w:sz w:val="20"/>
          <w:szCs w:val="20"/>
          <w:color w:val="auto"/>
        </w:rPr>
      </w:pPr>
    </w:p>
    <w:p>
      <w:pPr>
        <w:ind w:left="2" w:right="460"/>
        <w:spacing w:after="0" w:line="286" w:lineRule="auto"/>
        <w:rPr>
          <w:sz w:val="20"/>
          <w:szCs w:val="20"/>
          <w:color w:val="auto"/>
        </w:rPr>
      </w:pPr>
      <w:r>
        <w:rPr>
          <w:rFonts w:ascii="Arial" w:cs="Arial" w:eastAsia="Arial" w:hAnsi="Arial"/>
          <w:sz w:val="16"/>
          <w:szCs w:val="16"/>
          <w:color w:val="auto"/>
        </w:rPr>
        <w:t>The Company’s long-term debt agreements require the Company to satisfy various financial ratios. At December 31, 2008, the Company is in compliance with all debt covenants. We do not anticipate any breach of the covenants in the foreseeable future.</w:t>
      </w:r>
    </w:p>
    <w:p>
      <w:pPr>
        <w:spacing w:after="0" w:line="150" w:lineRule="exact"/>
        <w:rPr>
          <w:sz w:val="20"/>
          <w:szCs w:val="20"/>
          <w:color w:val="auto"/>
        </w:rPr>
      </w:pPr>
    </w:p>
    <w:p>
      <w:pPr>
        <w:ind w:left="402" w:hanging="402"/>
        <w:spacing w:after="0"/>
        <w:tabs>
          <w:tab w:leader="none" w:pos="40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methods and assumptions were used by the Company in estimating the fair value of financial instruments at December 31, 2008:</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carrying value of current assets and current liabilities approximates the fair value due to the short maturity of these items.</w:t>
      </w:r>
    </w:p>
    <w:p>
      <w:pPr>
        <w:spacing w:after="0" w:line="209" w:lineRule="exact"/>
        <w:rPr>
          <w:sz w:val="20"/>
          <w:szCs w:val="20"/>
          <w:color w:val="auto"/>
        </w:rPr>
      </w:pPr>
    </w:p>
    <w:p>
      <w:pPr>
        <w:ind w:left="2" w:right="220"/>
        <w:spacing w:after="0" w:line="362" w:lineRule="auto"/>
        <w:rPr>
          <w:sz w:val="20"/>
          <w:szCs w:val="20"/>
          <w:color w:val="auto"/>
        </w:rPr>
      </w:pPr>
      <w:r>
        <w:rPr>
          <w:rFonts w:ascii="Arial" w:cs="Arial" w:eastAsia="Arial" w:hAnsi="Arial"/>
          <w:sz w:val="14"/>
          <w:szCs w:val="14"/>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03" w:lineRule="exact"/>
        <w:rPr>
          <w:sz w:val="20"/>
          <w:szCs w:val="20"/>
          <w:color w:val="auto"/>
        </w:rPr>
      </w:pPr>
    </w:p>
    <w:p>
      <w:pPr>
        <w:ind w:left="402" w:hanging="402"/>
        <w:spacing w:after="0"/>
        <w:tabs>
          <w:tab w:leader="none" w:pos="40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DEFINED CONTRIBUTION PLAN:</w:t>
      </w:r>
    </w:p>
    <w:p>
      <w:pPr>
        <w:spacing w:after="0" w:line="209" w:lineRule="exact"/>
        <w:rPr>
          <w:sz w:val="20"/>
          <w:szCs w:val="20"/>
          <w:color w:val="auto"/>
        </w:rPr>
      </w:pPr>
    </w:p>
    <w:p>
      <w:pPr>
        <w:ind w:left="2"/>
        <w:spacing w:after="0" w:line="261" w:lineRule="auto"/>
        <w:rPr>
          <w:sz w:val="20"/>
          <w:szCs w:val="20"/>
          <w:color w:val="auto"/>
        </w:rPr>
      </w:pPr>
      <w:r>
        <w:rPr>
          <w:rFonts w:ascii="Arial" w:cs="Arial" w:eastAsia="Arial" w:hAnsi="Arial"/>
          <w:sz w:val="16"/>
          <w:szCs w:val="16"/>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higher paid employees are limited to a maximum contribution of 15% of total gross compensation. For the first 10% of an employee’s contribution, the Company, at its discretion, may contribute an amount equal to 25% of the employees’ contributions for those employees with less than five years of service and an amount equal to 50% of the employees’ contributions for those employees with more than five years of service. The Company incurred expenses related to the Rush 401K Plan of approximately $3.4 million during the year ended December 31, 2008, $3.6 million during the year ended December 31, 2007, and $3.1 million during the year ended December 31, 2006.</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currently does not provide any postretirement benefits nor does it provide any post employment benefits.</w:t>
      </w:r>
    </w:p>
    <w:p>
      <w:pPr>
        <w:spacing w:after="0" w:line="209" w:lineRule="exact"/>
        <w:rPr>
          <w:sz w:val="20"/>
          <w:szCs w:val="20"/>
          <w:color w:val="auto"/>
        </w:rPr>
      </w:pPr>
    </w:p>
    <w:p>
      <w:pPr>
        <w:ind w:left="2" w:right="9340" w:hanging="2"/>
        <w:spacing w:after="0" w:line="542" w:lineRule="auto"/>
        <w:tabs>
          <w:tab w:leader="none" w:pos="40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LEASING ACTIVITIES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Vehicle Leases as Lessee</w:t>
      </w:r>
    </w:p>
    <w:p>
      <w:pPr>
        <w:sectPr>
          <w:pgSz w:w="11900" w:h="16838" w:orient="portrait"/>
          <w:cols w:equalWidth="0" w:num="1">
            <w:col w:w="11422"/>
          </w:cols>
          <w:pgMar w:left="238" w:top="127" w:right="239" w:bottom="0" w:gutter="0" w:footer="0" w:header="0"/>
        </w:sectPr>
      </w:pPr>
    </w:p>
    <w:bookmarkStart w:id="34" w:name="page35"/>
    <w:bookmarkEnd w:id="34"/>
    <w:p>
      <w:pPr>
        <w:spacing w:after="0" w:line="29" w:lineRule="exact"/>
        <w:rPr>
          <w:sz w:val="20"/>
          <w:szCs w:val="20"/>
          <w:color w:val="auto"/>
        </w:rPr>
      </w:pPr>
    </w:p>
    <w:p>
      <w:pPr>
        <w:ind w:left="2" w:right="40"/>
        <w:spacing w:after="0" w:line="262" w:lineRule="auto"/>
        <w:rPr>
          <w:sz w:val="20"/>
          <w:szCs w:val="20"/>
          <w:color w:val="auto"/>
        </w:rPr>
      </w:pPr>
      <w:r>
        <w:rPr>
          <w:rFonts w:ascii="Arial" w:cs="Arial" w:eastAsia="Arial" w:hAnsi="Arial"/>
          <w:sz w:val="16"/>
          <w:szCs w:val="16"/>
          <w:color w:val="auto"/>
        </w:rPr>
        <w:t>The Company leases vehicles, as lessee, primarily over periods ranging from one to ten years under operating lease and capital lease arrangements. As discussed below, these vehicles are then subleased by the Company to customers under various agreements. Future minimum sublease rentals to be received by the Company under non-cancelable subleases, as described below, are $34.0 million. Generally, the Company is required to incur all operating costs and pay a minimum rental. The Company guarantees the residual value of vehicles under operating lease and capital lease arrangements. At December 31, 2008, the Company guaranteed vehicle residual values of $6.9 million under operating lease arrangements and $6.1 million under capital lease arrangements. Historically, the Company purchases these vehicles at the end of the lease term and recognizes a gain on the sale of the vehicle. The residual values are not reflected in the</w:t>
      </w:r>
    </w:p>
    <w:p>
      <w:pPr>
        <w:spacing w:after="0" w:line="16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right="280"/>
        <w:spacing w:after="0" w:line="286" w:lineRule="auto"/>
        <w:rPr>
          <w:sz w:val="20"/>
          <w:szCs w:val="20"/>
          <w:color w:val="auto"/>
        </w:rPr>
      </w:pPr>
      <w:r>
        <w:rPr>
          <w:rFonts w:ascii="Arial" w:cs="Arial" w:eastAsia="Arial" w:hAnsi="Arial"/>
          <w:sz w:val="16"/>
          <w:szCs w:val="16"/>
          <w:color w:val="auto"/>
        </w:rPr>
        <w:t>future minimum lease payments for operating leases. Vehicle lease expenses were approximately $4.4 million for the year ended December 31, 2008, $4.8 million for the year ended December 31, 2007, and $4.8 million for the year ended December 31, 2006.</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Future minimum lease payments under capital and non-cancelable vehicle leases as of December 31, 2008, are as follows (in thousands):</w:t>
      </w:r>
    </w:p>
    <w:p>
      <w:pPr>
        <w:spacing w:after="0" w:line="186" w:lineRule="exact"/>
        <w:rPr>
          <w:sz w:val="20"/>
          <w:szCs w:val="20"/>
          <w:color w:val="auto"/>
        </w:rPr>
      </w:pPr>
    </w:p>
    <w:tbl>
      <w:tblPr>
        <w:tblLayout w:type="fixed"/>
        <w:tblInd w:w="862"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1140" w:type="dxa"/>
            <w:vAlign w:val="bottom"/>
          </w:tcPr>
          <w:p>
            <w:pPr>
              <w:jc w:val="right"/>
              <w:ind w:right="8"/>
              <w:spacing w:after="0"/>
              <w:rPr>
                <w:sz w:val="20"/>
                <w:szCs w:val="20"/>
                <w:color w:val="auto"/>
              </w:rPr>
            </w:pPr>
            <w:r>
              <w:rPr>
                <w:rFonts w:ascii="Arial" w:cs="Arial" w:eastAsia="Arial" w:hAnsi="Arial"/>
                <w:sz w:val="13"/>
                <w:szCs w:val="13"/>
                <w:b w:val="1"/>
                <w:bCs w:val="1"/>
                <w:color w:val="auto"/>
              </w:rPr>
              <w:t>Capital</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Operating</w:t>
            </w:r>
          </w:p>
        </w:tc>
      </w:tr>
      <w:tr>
        <w:trPr>
          <w:trHeight w:val="155"/>
        </w:trPr>
        <w:tc>
          <w:tcPr>
            <w:tcW w:w="5940" w:type="dxa"/>
            <w:vAlign w:val="bottom"/>
          </w:tcPr>
          <w:p>
            <w:pPr>
              <w:spacing w:after="0"/>
              <w:rPr>
                <w:sz w:val="13"/>
                <w:szCs w:val="13"/>
                <w:color w:val="auto"/>
              </w:rPr>
            </w:pPr>
          </w:p>
        </w:tc>
        <w:tc>
          <w:tcPr>
            <w:tcW w:w="1140" w:type="dxa"/>
            <w:vAlign w:val="bottom"/>
          </w:tcPr>
          <w:p>
            <w:pPr>
              <w:jc w:val="right"/>
              <w:ind w:right="28"/>
              <w:spacing w:after="0"/>
              <w:rPr>
                <w:sz w:val="20"/>
                <w:szCs w:val="20"/>
                <w:color w:val="auto"/>
              </w:rPr>
            </w:pPr>
            <w:r>
              <w:rPr>
                <w:rFonts w:ascii="Arial" w:cs="Arial" w:eastAsia="Arial" w:hAnsi="Arial"/>
                <w:sz w:val="13"/>
                <w:szCs w:val="13"/>
                <w:b w:val="1"/>
                <w:bCs w:val="1"/>
                <w:color w:val="auto"/>
              </w:rPr>
              <w:t>Leases</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Leases</w:t>
            </w:r>
          </w:p>
        </w:tc>
      </w:tr>
      <w:tr>
        <w:trPr>
          <w:trHeight w:val="18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2009</w:t>
            </w:r>
          </w:p>
        </w:tc>
        <w:tc>
          <w:tcPr>
            <w:tcW w:w="1140" w:type="dxa"/>
            <w:vAlign w:val="bottom"/>
            <w:tcBorders>
              <w:top w:val="single" w:sz="8" w:color="auto"/>
            </w:tcBorders>
            <w:shd w:val="clear" w:color="auto" w:fill="CCEEFF"/>
          </w:tcPr>
          <w:p>
            <w:pPr>
              <w:jc w:val="right"/>
              <w:ind w:right="9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5940" w:type="dxa"/>
            <w:vAlign w:val="bottom"/>
          </w:tcPr>
          <w:p>
            <w:pPr>
              <w:spacing w:after="0"/>
              <w:rPr>
                <w:sz w:val="20"/>
                <w:szCs w:val="20"/>
                <w:color w:val="auto"/>
              </w:rPr>
            </w:pPr>
            <w:r>
              <w:rPr>
                <w:rFonts w:ascii="Arial" w:cs="Arial" w:eastAsia="Arial" w:hAnsi="Arial"/>
                <w:sz w:val="16"/>
                <w:szCs w:val="16"/>
                <w:color w:val="auto"/>
              </w:rPr>
              <w:t>2010</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3,405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3,263</w:t>
            </w:r>
          </w:p>
        </w:tc>
        <w:tc>
          <w:tcPr>
            <w:tcW w:w="80" w:type="dxa"/>
            <w:vAlign w:val="bottom"/>
          </w:tcPr>
          <w:p>
            <w:pPr>
              <w:spacing w:after="0"/>
              <w:rPr>
                <w:sz w:val="17"/>
                <w:szCs w:val="17"/>
                <w:color w:val="auto"/>
              </w:rPr>
            </w:pPr>
          </w:p>
        </w:tc>
      </w:tr>
      <w:tr>
        <w:trPr>
          <w:trHeight w:val="19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2011</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80" w:type="dxa"/>
            <w:vAlign w:val="bottom"/>
            <w:shd w:val="clear" w:color="auto" w:fill="CCEEFF"/>
          </w:tcPr>
          <w:p>
            <w:pPr>
              <w:spacing w:after="0"/>
              <w:rPr>
                <w:sz w:val="17"/>
                <w:szCs w:val="17"/>
                <w:color w:val="auto"/>
              </w:rPr>
            </w:pPr>
          </w:p>
        </w:tc>
      </w:tr>
      <w:tr>
        <w:trPr>
          <w:trHeight w:val="196"/>
        </w:trPr>
        <w:tc>
          <w:tcPr>
            <w:tcW w:w="5940" w:type="dxa"/>
            <w:vAlign w:val="bottom"/>
          </w:tcPr>
          <w:p>
            <w:pPr>
              <w:spacing w:after="0"/>
              <w:rPr>
                <w:sz w:val="20"/>
                <w:szCs w:val="20"/>
                <w:color w:val="auto"/>
              </w:rPr>
            </w:pPr>
            <w:r>
              <w:rPr>
                <w:rFonts w:ascii="Arial" w:cs="Arial" w:eastAsia="Arial" w:hAnsi="Arial"/>
                <w:sz w:val="16"/>
                <w:szCs w:val="16"/>
                <w:color w:val="auto"/>
              </w:rPr>
              <w:t>2012</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3,220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2,205</w:t>
            </w:r>
          </w:p>
        </w:tc>
        <w:tc>
          <w:tcPr>
            <w:tcW w:w="80" w:type="dxa"/>
            <w:vAlign w:val="bottom"/>
          </w:tcPr>
          <w:p>
            <w:pPr>
              <w:spacing w:after="0"/>
              <w:rPr>
                <w:sz w:val="17"/>
                <w:szCs w:val="17"/>
                <w:color w:val="auto"/>
              </w:rPr>
            </w:pPr>
          </w:p>
        </w:tc>
      </w:tr>
      <w:tr>
        <w:trPr>
          <w:trHeight w:val="19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2013</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80" w:type="dxa"/>
            <w:vAlign w:val="bottom"/>
            <w:shd w:val="clear" w:color="auto" w:fill="CCEEFF"/>
          </w:tcPr>
          <w:p>
            <w:pPr>
              <w:spacing w:after="0"/>
              <w:rPr>
                <w:sz w:val="17"/>
                <w:szCs w:val="17"/>
                <w:color w:val="auto"/>
              </w:rPr>
            </w:pPr>
          </w:p>
        </w:tc>
      </w:tr>
      <w:tr>
        <w:trPr>
          <w:trHeight w:val="196"/>
        </w:trPr>
        <w:tc>
          <w:tcPr>
            <w:tcW w:w="5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3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80" w:type="dxa"/>
            <w:vAlign w:val="bottom"/>
            <w:tcBorders>
              <w:bottom w:val="single" w:sz="8" w:color="CCEEFF"/>
            </w:tcBorders>
          </w:tcPr>
          <w:p>
            <w:pPr>
              <w:spacing w:after="0"/>
              <w:rPr>
                <w:sz w:val="17"/>
                <w:szCs w:val="17"/>
                <w:color w:val="auto"/>
              </w:rPr>
            </w:pPr>
          </w:p>
        </w:tc>
      </w:tr>
      <w:tr>
        <w:trPr>
          <w:trHeight w:val="189"/>
        </w:trPr>
        <w:tc>
          <w:tcPr>
            <w:tcW w:w="59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6"/>
        </w:trPr>
        <w:tc>
          <w:tcPr>
            <w:tcW w:w="5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minimum lease payments</w:t>
            </w:r>
          </w:p>
        </w:tc>
        <w:tc>
          <w:tcPr>
            <w:tcW w:w="1140" w:type="dxa"/>
            <w:vAlign w:val="bottom"/>
            <w:tcBorders>
              <w:bottom w:val="single" w:sz="8" w:color="CCEEFF"/>
            </w:tcBorders>
          </w:tcPr>
          <w:p>
            <w:pPr>
              <w:jc w:val="right"/>
              <w:ind w:right="98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16,893</w:t>
            </w: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14,397</w:t>
            </w:r>
          </w:p>
        </w:tc>
        <w:tc>
          <w:tcPr>
            <w:tcW w:w="80" w:type="dxa"/>
            <w:vAlign w:val="bottom"/>
            <w:tcBorders>
              <w:bottom w:val="single" w:sz="8" w:color="CCEEFF"/>
            </w:tcBorders>
          </w:tcPr>
          <w:p>
            <w:pPr>
              <w:spacing w:after="0"/>
              <w:rPr>
                <w:sz w:val="20"/>
                <w:szCs w:val="20"/>
                <w:color w:val="auto"/>
              </w:rPr>
            </w:pPr>
          </w:p>
        </w:tc>
      </w:tr>
      <w:tr>
        <w:trPr>
          <w:trHeight w:val="149"/>
        </w:trPr>
        <w:tc>
          <w:tcPr>
            <w:tcW w:w="5940" w:type="dxa"/>
            <w:vAlign w:val="bottom"/>
            <w:shd w:val="clear" w:color="auto" w:fill="CCEEFF"/>
          </w:tcPr>
          <w:p>
            <w:pPr>
              <w:spacing w:after="0" w:line="148" w:lineRule="exact"/>
              <w:rPr>
                <w:sz w:val="20"/>
                <w:szCs w:val="20"/>
                <w:color w:val="auto"/>
              </w:rPr>
            </w:pPr>
            <w:r>
              <w:rPr>
                <w:rFonts w:ascii="Arial" w:cs="Arial" w:eastAsia="Arial" w:hAnsi="Arial"/>
                <w:sz w:val="16"/>
                <w:szCs w:val="16"/>
                <w:color w:val="auto"/>
              </w:rPr>
              <w:t>Less amount representing interest</w:t>
            </w:r>
          </w:p>
        </w:tc>
        <w:tc>
          <w:tcPr>
            <w:tcW w:w="1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6"/>
                <w:szCs w:val="16"/>
                <w:color w:val="auto"/>
              </w:rPr>
              <w:t>(2,073 )</w:t>
            </w: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Present value of net minimum capital lease payments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14,820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(3,454 )</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Obligations under capital leases less current portion</w:t>
            </w:r>
          </w:p>
        </w:tc>
        <w:tc>
          <w:tcPr>
            <w:tcW w:w="114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11,366</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Customer Vehicle Leases as Lessor</w:t>
      </w:r>
    </w:p>
    <w:p>
      <w:pPr>
        <w:spacing w:after="0" w:line="209" w:lineRule="exact"/>
        <w:rPr>
          <w:sz w:val="20"/>
          <w:szCs w:val="20"/>
          <w:color w:val="auto"/>
        </w:rPr>
      </w:pPr>
    </w:p>
    <w:p>
      <w:pPr>
        <w:ind w:left="2" w:right="80"/>
        <w:spacing w:after="0" w:line="282" w:lineRule="auto"/>
        <w:rPr>
          <w:sz w:val="20"/>
          <w:szCs w:val="20"/>
          <w:color w:val="auto"/>
        </w:rPr>
      </w:pPr>
      <w:r>
        <w:rPr>
          <w:rFonts w:ascii="Arial" w:cs="Arial" w:eastAsia="Arial" w:hAnsi="Arial"/>
          <w:sz w:val="15"/>
          <w:szCs w:val="15"/>
          <w:color w:val="auto"/>
        </w:rPr>
        <w:t>A division of the Company leases both owned and leased vehicles to customers primarily over periods of one to ten years under operating lease arrangements. These leases require a minimum rental payment and a contingent rental payment based on mileage. Rental income during the year ended December 31, 2008 consisted of minimum rental payments of approximately $41.9 million and contingent rental payments of $6.9 million. Rental income during the year ended December 31, 2007, consisted of minimum rental payments of approximately $34.2 million and contingent rentals payments of approximately $5.4 million. Rental income during the year ended December 31, 2006, consisted of minimum rental payments of approximately $24.7 million and contingent rental payments of $4.1 million. Minimum lease payments to be received for non-cancelable leases and subleases in effect at December 31, 2008, are as follows (in thousands):</w:t>
      </w:r>
    </w:p>
    <w:p>
      <w:pPr>
        <w:spacing w:after="0" w:line="170" w:lineRule="exact"/>
        <w:rPr>
          <w:sz w:val="20"/>
          <w:szCs w:val="20"/>
          <w:color w:val="auto"/>
        </w:rPr>
      </w:pPr>
    </w:p>
    <w:tbl>
      <w:tblPr>
        <w:tblLayout w:type="fixed"/>
        <w:tblInd w:w="3742" w:type="dxa"/>
        <w:tblCellMar>
          <w:top w:w="0" w:type="dxa"/>
          <w:left w:w="0" w:type="dxa"/>
          <w:bottom w:w="0" w:type="dxa"/>
          <w:right w:w="0" w:type="dxa"/>
        </w:tblCellMar>
      </w:tblPr>
      <w:tr>
        <w:trPr>
          <w:trHeight w:val="19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2009</w:t>
            </w: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36,368</w:t>
            </w:r>
          </w:p>
        </w:tc>
        <w:tc>
          <w:tcPr>
            <w:tcW w:w="80" w:type="dxa"/>
            <w:vAlign w:val="bottom"/>
            <w:shd w:val="clear" w:color="auto" w:fill="CCEEFF"/>
          </w:tcPr>
          <w:p>
            <w:pPr>
              <w:spacing w:after="0"/>
              <w:rPr>
                <w:sz w:val="17"/>
                <w:szCs w:val="17"/>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2010</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31,803</w:t>
            </w:r>
          </w:p>
        </w:tc>
        <w:tc>
          <w:tcPr>
            <w:tcW w:w="80" w:type="dxa"/>
            <w:vAlign w:val="bottom"/>
          </w:tcPr>
          <w:p>
            <w:pPr>
              <w:spacing w:after="0"/>
              <w:rPr>
                <w:sz w:val="17"/>
                <w:szCs w:val="17"/>
                <w:color w:val="auto"/>
              </w:rPr>
            </w:pPr>
          </w:p>
        </w:tc>
      </w:tr>
      <w:tr>
        <w:trPr>
          <w:trHeight w:val="19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2011</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25,573</w:t>
            </w:r>
          </w:p>
        </w:tc>
        <w:tc>
          <w:tcPr>
            <w:tcW w:w="80" w:type="dxa"/>
            <w:vAlign w:val="bottom"/>
            <w:shd w:val="clear" w:color="auto" w:fill="CCEEFF"/>
          </w:tcPr>
          <w:p>
            <w:pPr>
              <w:spacing w:after="0"/>
              <w:rPr>
                <w:sz w:val="17"/>
                <w:szCs w:val="17"/>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2012</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17,966</w:t>
            </w:r>
          </w:p>
        </w:tc>
        <w:tc>
          <w:tcPr>
            <w:tcW w:w="80" w:type="dxa"/>
            <w:vAlign w:val="bottom"/>
          </w:tcPr>
          <w:p>
            <w:pPr>
              <w:spacing w:after="0"/>
              <w:rPr>
                <w:sz w:val="17"/>
                <w:szCs w:val="17"/>
                <w:color w:val="auto"/>
              </w:rPr>
            </w:pPr>
          </w:p>
        </w:tc>
      </w:tr>
      <w:tr>
        <w:trPr>
          <w:trHeight w:val="19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80" w:type="dxa"/>
            <w:vAlign w:val="bottom"/>
            <w:shd w:val="clear" w:color="auto" w:fill="CCEEFF"/>
          </w:tcPr>
          <w:p>
            <w:pPr>
              <w:spacing w:after="0"/>
              <w:rPr>
                <w:sz w:val="17"/>
                <w:szCs w:val="17"/>
                <w:color w:val="auto"/>
              </w:rPr>
            </w:pPr>
          </w:p>
        </w:tc>
      </w:tr>
      <w:tr>
        <w:trPr>
          <w:trHeight w:val="196"/>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w:t>
            </w:r>
          </w:p>
        </w:tc>
        <w:tc>
          <w:tcPr>
            <w:tcW w:w="80" w:type="dxa"/>
            <w:vAlign w:val="bottom"/>
            <w:tcBorders>
              <w:bottom w:val="single" w:sz="8" w:color="CCEEFF"/>
            </w:tcBorders>
          </w:tcPr>
          <w:p>
            <w:pPr>
              <w:spacing w:after="0"/>
              <w:rPr>
                <w:sz w:val="17"/>
                <w:szCs w:val="17"/>
                <w:color w:val="auto"/>
              </w:rPr>
            </w:pPr>
          </w:p>
        </w:tc>
      </w:tr>
      <w:tr>
        <w:trPr>
          <w:trHeight w:val="189"/>
        </w:trPr>
        <w:tc>
          <w:tcPr>
            <w:tcW w:w="2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124,631</w:t>
            </w:r>
          </w:p>
        </w:tc>
        <w:tc>
          <w:tcPr>
            <w:tcW w:w="8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right="160"/>
        <w:spacing w:after="0" w:line="322" w:lineRule="auto"/>
        <w:rPr>
          <w:sz w:val="20"/>
          <w:szCs w:val="20"/>
          <w:color w:val="auto"/>
        </w:rPr>
      </w:pPr>
      <w:r>
        <w:rPr>
          <w:rFonts w:ascii="Arial" w:cs="Arial" w:eastAsia="Arial" w:hAnsi="Arial"/>
          <w:sz w:val="15"/>
          <w:szCs w:val="15"/>
          <w:color w:val="auto"/>
        </w:rPr>
        <w:t>As of December 31, 2008, the Company had $133.6 million (net of accumulated depreciation of $55.5 million) of lease vehicles included in property and equipment. As of December 31, 2007, the Company had $131.0 million (net of accumulated depreciation of $39.8 million) of lease vehicles included in property and equipment.</w:t>
      </w:r>
    </w:p>
    <w:p>
      <w:pPr>
        <w:spacing w:after="0" w:line="126"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Other Leases - Land and Buildings</w:t>
      </w:r>
    </w:p>
    <w:p>
      <w:pPr>
        <w:spacing w:after="0" w:line="209" w:lineRule="exact"/>
        <w:rPr>
          <w:sz w:val="20"/>
          <w:szCs w:val="20"/>
          <w:color w:val="auto"/>
        </w:rPr>
      </w:pPr>
    </w:p>
    <w:p>
      <w:pPr>
        <w:ind w:left="2" w:right="180"/>
        <w:spacing w:after="0" w:line="322" w:lineRule="auto"/>
        <w:rPr>
          <w:sz w:val="20"/>
          <w:szCs w:val="20"/>
          <w:color w:val="auto"/>
        </w:rPr>
      </w:pPr>
      <w:r>
        <w:rPr>
          <w:rFonts w:ascii="Arial" w:cs="Arial" w:eastAsia="Arial" w:hAnsi="Arial"/>
          <w:sz w:val="15"/>
          <w:szCs w:val="15"/>
          <w:color w:val="auto"/>
        </w:rPr>
        <w:t>The Company leases various assets under operating leases with expiration dates ranging from January 2009 through November 2027. Monthly rental payments range from approximately $800 per month to $36,926 per month. Rental expense was $4.8 million for the year ended December 31, 2008, $4.3 million for the</w:t>
      </w:r>
    </w:p>
    <w:p>
      <w:pPr>
        <w:spacing w:after="0" w:line="12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spacing w:after="0" w:line="286" w:lineRule="auto"/>
        <w:rPr>
          <w:sz w:val="20"/>
          <w:szCs w:val="20"/>
          <w:color w:val="auto"/>
        </w:rPr>
      </w:pPr>
      <w:r>
        <w:rPr>
          <w:rFonts w:ascii="Arial" w:cs="Arial" w:eastAsia="Arial" w:hAnsi="Arial"/>
          <w:sz w:val="16"/>
          <w:szCs w:val="16"/>
          <w:color w:val="auto"/>
        </w:rPr>
        <w:t>year ended December 31, 2007, and $4.2 million for the year ended December 31, 2006. Future minimum lease payments under non-cancelable leases at December 31, 2008, are as follows (in thousands):</w:t>
      </w:r>
    </w:p>
    <w:p>
      <w:pPr>
        <w:spacing w:after="0" w:line="163" w:lineRule="exact"/>
        <w:rPr>
          <w:sz w:val="20"/>
          <w:szCs w:val="20"/>
          <w:color w:val="auto"/>
        </w:rPr>
      </w:pPr>
    </w:p>
    <w:tbl>
      <w:tblPr>
        <w:tblLayout w:type="fixed"/>
        <w:tblInd w:w="3742" w:type="dxa"/>
        <w:tblCellMar>
          <w:top w:w="0" w:type="dxa"/>
          <w:left w:w="0" w:type="dxa"/>
          <w:bottom w:w="0" w:type="dxa"/>
          <w:right w:w="0" w:type="dxa"/>
        </w:tblCellMar>
      </w:tblPr>
      <w:tr>
        <w:trPr>
          <w:trHeight w:val="19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2009</w:t>
            </w: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80" w:type="dxa"/>
            <w:vAlign w:val="bottom"/>
            <w:shd w:val="clear" w:color="auto" w:fill="CCEEFF"/>
          </w:tcPr>
          <w:p>
            <w:pPr>
              <w:spacing w:after="0"/>
              <w:rPr>
                <w:sz w:val="17"/>
                <w:szCs w:val="17"/>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2010</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3,628</w:t>
            </w:r>
          </w:p>
        </w:tc>
        <w:tc>
          <w:tcPr>
            <w:tcW w:w="80" w:type="dxa"/>
            <w:vAlign w:val="bottom"/>
          </w:tcPr>
          <w:p>
            <w:pPr>
              <w:spacing w:after="0"/>
              <w:rPr>
                <w:sz w:val="17"/>
                <w:szCs w:val="17"/>
                <w:color w:val="auto"/>
              </w:rPr>
            </w:pPr>
          </w:p>
        </w:tc>
      </w:tr>
      <w:tr>
        <w:trPr>
          <w:trHeight w:val="19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2011</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80" w:type="dxa"/>
            <w:vAlign w:val="bottom"/>
            <w:shd w:val="clear" w:color="auto" w:fill="CCEEFF"/>
          </w:tcPr>
          <w:p>
            <w:pPr>
              <w:spacing w:after="0"/>
              <w:rPr>
                <w:sz w:val="17"/>
                <w:szCs w:val="17"/>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2012</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1,833</w:t>
            </w:r>
          </w:p>
        </w:tc>
        <w:tc>
          <w:tcPr>
            <w:tcW w:w="80" w:type="dxa"/>
            <w:vAlign w:val="bottom"/>
          </w:tcPr>
          <w:p>
            <w:pPr>
              <w:spacing w:after="0"/>
              <w:rPr>
                <w:sz w:val="17"/>
                <w:szCs w:val="17"/>
                <w:color w:val="auto"/>
              </w:rPr>
            </w:pPr>
          </w:p>
        </w:tc>
      </w:tr>
      <w:tr>
        <w:trPr>
          <w:trHeight w:val="19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80" w:type="dxa"/>
            <w:vAlign w:val="bottom"/>
            <w:shd w:val="clear" w:color="auto" w:fill="CCEEFF"/>
          </w:tcPr>
          <w:p>
            <w:pPr>
              <w:spacing w:after="0"/>
              <w:rPr>
                <w:sz w:val="17"/>
                <w:szCs w:val="17"/>
                <w:color w:val="auto"/>
              </w:rPr>
            </w:pPr>
          </w:p>
        </w:tc>
      </w:tr>
      <w:tr>
        <w:trPr>
          <w:trHeight w:val="196"/>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9,656</w:t>
            </w:r>
          </w:p>
        </w:tc>
        <w:tc>
          <w:tcPr>
            <w:tcW w:w="80" w:type="dxa"/>
            <w:vAlign w:val="bottom"/>
            <w:tcBorders>
              <w:bottom w:val="single" w:sz="8" w:color="CCEEFF"/>
            </w:tcBorders>
          </w:tcPr>
          <w:p>
            <w:pPr>
              <w:spacing w:after="0"/>
              <w:rPr>
                <w:sz w:val="17"/>
                <w:szCs w:val="17"/>
                <w:color w:val="auto"/>
              </w:rPr>
            </w:pPr>
          </w:p>
        </w:tc>
      </w:tr>
      <w:tr>
        <w:trPr>
          <w:trHeight w:val="189"/>
        </w:trPr>
        <w:tc>
          <w:tcPr>
            <w:tcW w:w="2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2480" w:type="dxa"/>
            <w:vAlign w:val="bottom"/>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23,734</w:t>
            </w:r>
          </w:p>
        </w:tc>
        <w:tc>
          <w:tcPr>
            <w:tcW w:w="8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2" w:hanging="402"/>
        <w:spacing w:after="0"/>
        <w:tabs>
          <w:tab w:leader="none" w:pos="40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STOCK OPTIONS AND INCENTIVE PLANS</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Employee Stock Purchase Plan</w:t>
      </w:r>
    </w:p>
    <w:p>
      <w:pPr>
        <w:spacing w:after="0" w:line="209" w:lineRule="exact"/>
        <w:rPr>
          <w:sz w:val="20"/>
          <w:szCs w:val="20"/>
          <w:color w:val="auto"/>
        </w:rPr>
      </w:pPr>
    </w:p>
    <w:p>
      <w:pPr>
        <w:ind w:left="2" w:right="120"/>
        <w:spacing w:after="0" w:line="292" w:lineRule="auto"/>
        <w:rPr>
          <w:sz w:val="20"/>
          <w:szCs w:val="20"/>
          <w:color w:val="auto"/>
        </w:rPr>
      </w:pPr>
      <w:r>
        <w:rPr>
          <w:rFonts w:ascii="Arial" w:cs="Arial" w:eastAsia="Arial" w:hAnsi="Arial"/>
          <w:sz w:val="14"/>
          <w:szCs w:val="14"/>
          <w:color w:val="auto"/>
        </w:rPr>
        <w:t>The Company has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w:t>
      </w:r>
      <w:r>
        <w:rPr>
          <w:rFonts w:ascii="Arial" w:cs="Arial" w:eastAsia="Arial" w:hAnsi="Arial"/>
          <w:sz w:val="18"/>
          <w:szCs w:val="18"/>
          <w:color w:val="auto"/>
          <w:vertAlign w:val="superscript"/>
        </w:rPr>
        <w:t>SM</w:t>
      </w:r>
      <w:r>
        <w:rPr>
          <w:rFonts w:ascii="Arial" w:cs="Arial" w:eastAsia="Arial" w:hAnsi="Arial"/>
          <w:sz w:val="14"/>
          <w:szCs w:val="14"/>
          <w:color w:val="auto"/>
        </w:rPr>
        <w:t>. Employees may purchase shares having a fair market value of up to $25,000 (measured as of the first day of each semi-annual offering period) for each calendar year. Under the Employee Stock Purchase Plan, 900,000 shares of the</w:t>
      </w:r>
    </w:p>
    <w:p>
      <w:pPr>
        <w:sectPr>
          <w:pgSz w:w="11900" w:h="16867" w:orient="portrait"/>
          <w:cols w:equalWidth="0" w:num="1">
            <w:col w:w="11402"/>
          </w:cols>
          <w:pgMar w:left="238" w:top="127" w:right="259" w:bottom="0" w:gutter="0" w:footer="0" w:header="0"/>
        </w:sectPr>
      </w:pPr>
    </w:p>
    <w:bookmarkStart w:id="35" w:name="page36"/>
    <w:bookmarkEnd w:id="35"/>
    <w:p>
      <w:pPr>
        <w:jc w:val="both"/>
        <w:ind w:right="380"/>
        <w:spacing w:after="0" w:line="271" w:lineRule="auto"/>
        <w:rPr>
          <w:sz w:val="20"/>
          <w:szCs w:val="20"/>
          <w:color w:val="auto"/>
        </w:rPr>
      </w:pPr>
      <w:r>
        <w:rPr>
          <w:rFonts w:ascii="Arial" w:cs="Arial" w:eastAsia="Arial" w:hAnsi="Arial"/>
          <w:sz w:val="16"/>
          <w:szCs w:val="16"/>
          <w:color w:val="auto"/>
        </w:rPr>
        <w:t>Company’s Class A common stock have been reserved for issuance. The Company issued 54,532 shares under the Employee Stock Purchase Plan during the year ended December 31, 2008 and 58,713 shares during the year ended December 31, 2007. Of the 2,706 employees eligible to participate, 287 were participants in the plan as of December 31, 2008.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Non-Employee Director Stock Option Plan</w:t>
      </w:r>
    </w:p>
    <w:p>
      <w:pPr>
        <w:spacing w:after="0" w:line="209"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w:t>
      </w:r>
    </w:p>
    <w:p>
      <w:pPr>
        <w:spacing w:after="0" w:line="16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Director Plan is designed to attract and retain highly qualified non-employee directors. Historically,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In 2008, in lieu of options, each non-employee director received an outright grant of 7,566 shares of the Company’s Class A common stock on the date that they were reelected by the shareholders to serve on the Board of Directors. Under the Director Plan, 1,500,000 shares of the Company’s Class A common stock have been reserved for issuance. The Company granted 30,264 shares of Class A common stock under the Director Plan during the year ended December 31, 2008 and 120,000 options to purchase Class A common stock under the Director Plan during the year ended December 31, 2007.</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Incentive Plans</w:t>
      </w:r>
    </w:p>
    <w:p>
      <w:pPr>
        <w:spacing w:after="0" w:line="20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has a ten year term from the grant date and vests in three equal annual installments beginning on the third anniversary of the grant date. The Company has 2,550,000 shares of Class A common stock and 450,000 shares of Class B common stock reserved for issuance upon exercise of any awards granted under the Company’s 2007 Incentive Plan. During the year ended December 31, 2008, the Company granted 396,865 options and 73,190 restricted stock awards under the 2007 Incentive Plan. During the year ended December 31, 2007, the Company granted 561,832 options under the Incentive Plan and 37,500 options under the 2007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and Expense Information under SFAS 123(R)</w:t>
      </w:r>
    </w:p>
    <w:p>
      <w:pPr>
        <w:spacing w:after="0" w:line="20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Stock-based compensation expense related to stock options, restricted stock awards and employee stock purchases under SFAS 123(R) for the year ended December 31, 2008 was $3.6 million, for the year ended December 31, 2007 was $3.4 million and for the year ended December 31, 2006 was $2.6 million.</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Cash received from options exercised and shares purchased under all share-based payment arrangements was $1.1 million for the year ended December 31, 2008, $2.8 million for the year ended December 31, 2007, and $2.2 million for the year ended December 31, 2006.</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 activity and related information for the year ended December 31, 2008,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left="235"/>
              <w:spacing w:after="0"/>
              <w:rPr>
                <w:sz w:val="20"/>
                <w:szCs w:val="20"/>
                <w:color w:val="auto"/>
              </w:rPr>
            </w:pPr>
            <w:r>
              <w:rPr>
                <w:rFonts w:ascii="Arial" w:cs="Arial" w:eastAsia="Arial" w:hAnsi="Arial"/>
                <w:sz w:val="13"/>
                <w:szCs w:val="13"/>
                <w:b w:val="1"/>
                <w:bCs w:val="1"/>
                <w:color w:val="auto"/>
                <w:w w:val="92"/>
              </w:rPr>
              <w:t>Weighted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2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left="348"/>
              <w:spacing w:after="0" w:line="135" w:lineRule="exact"/>
              <w:rPr>
                <w:sz w:val="20"/>
                <w:szCs w:val="20"/>
                <w:color w:val="auto"/>
              </w:rPr>
            </w:pPr>
            <w:r>
              <w:rPr>
                <w:rFonts w:ascii="Arial" w:cs="Arial" w:eastAsia="Arial" w:hAnsi="Arial"/>
                <w:sz w:val="13"/>
                <w:szCs w:val="13"/>
                <w:b w:val="1"/>
                <w:bCs w:val="1"/>
                <w:color w:val="auto"/>
                <w:w w:val="92"/>
              </w:rPr>
              <w:t>Weighted</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left="235"/>
              <w:spacing w:after="0" w:line="135" w:lineRule="exact"/>
              <w:rPr>
                <w:sz w:val="20"/>
                <w:szCs w:val="20"/>
                <w:color w:val="auto"/>
              </w:rPr>
            </w:pPr>
            <w:r>
              <w:rPr>
                <w:rFonts w:ascii="Arial" w:cs="Arial" w:eastAsia="Arial" w:hAnsi="Arial"/>
                <w:sz w:val="13"/>
                <w:szCs w:val="13"/>
                <w:b w:val="1"/>
                <w:bCs w:val="1"/>
                <w:color w:val="auto"/>
                <w:w w:val="89"/>
              </w:rPr>
              <w:t>Average</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left="348"/>
              <w:spacing w:after="0" w:line="135" w:lineRule="exact"/>
              <w:rPr>
                <w:sz w:val="20"/>
                <w:szCs w:val="20"/>
                <w:color w:val="auto"/>
              </w:rPr>
            </w:pPr>
            <w:r>
              <w:rPr>
                <w:rFonts w:ascii="Arial" w:cs="Arial" w:eastAsia="Arial" w:hAnsi="Arial"/>
                <w:sz w:val="13"/>
                <w:szCs w:val="13"/>
                <w:b w:val="1"/>
                <w:bCs w:val="1"/>
                <w:color w:val="auto"/>
                <w:w w:val="89"/>
              </w:rPr>
              <w:t>Average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left="235"/>
              <w:spacing w:after="0" w:line="135" w:lineRule="exact"/>
              <w:rPr>
                <w:sz w:val="20"/>
                <w:szCs w:val="20"/>
                <w:color w:val="auto"/>
              </w:rPr>
            </w:pPr>
            <w:r>
              <w:rPr>
                <w:rFonts w:ascii="Arial" w:cs="Arial" w:eastAsia="Arial" w:hAnsi="Arial"/>
                <w:sz w:val="13"/>
                <w:szCs w:val="13"/>
                <w:b w:val="1"/>
                <w:bCs w:val="1"/>
                <w:color w:val="auto"/>
                <w:w w:val="93"/>
              </w:rPr>
              <w:t>Remaining</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Aggregate</w:t>
            </w:r>
          </w:p>
        </w:tc>
      </w:tr>
      <w:tr>
        <w:trPr>
          <w:trHeight w:val="135"/>
        </w:trPr>
        <w:tc>
          <w:tcPr>
            <w:tcW w:w="2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left="348"/>
              <w:spacing w:after="0" w:line="135" w:lineRule="exact"/>
              <w:rPr>
                <w:sz w:val="20"/>
                <w:szCs w:val="20"/>
                <w:color w:val="auto"/>
              </w:rPr>
            </w:pPr>
            <w:r>
              <w:rPr>
                <w:rFonts w:ascii="Arial" w:cs="Arial" w:eastAsia="Arial" w:hAnsi="Arial"/>
                <w:sz w:val="13"/>
                <w:szCs w:val="13"/>
                <w:b w:val="1"/>
                <w:bCs w:val="1"/>
                <w:color w:val="auto"/>
                <w:w w:val="85"/>
              </w:rPr>
              <w:t>Exercise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left="255"/>
              <w:spacing w:after="0" w:line="135" w:lineRule="exact"/>
              <w:rPr>
                <w:sz w:val="20"/>
                <w:szCs w:val="20"/>
                <w:color w:val="auto"/>
              </w:rPr>
            </w:pPr>
            <w:r>
              <w:rPr>
                <w:rFonts w:ascii="Arial" w:cs="Arial" w:eastAsia="Arial" w:hAnsi="Arial"/>
                <w:sz w:val="13"/>
                <w:szCs w:val="13"/>
                <w:b w:val="1"/>
                <w:bCs w:val="1"/>
                <w:color w:val="auto"/>
                <w:w w:val="94"/>
              </w:rPr>
              <w:t>Contractual</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4"/>
              </w:rPr>
              <w:t>Intrinsic</w:t>
            </w:r>
          </w:p>
        </w:tc>
      </w:tr>
      <w:tr>
        <w:trPr>
          <w:trHeight w:val="155"/>
        </w:trPr>
        <w:tc>
          <w:tcPr>
            <w:tcW w:w="4720" w:type="dxa"/>
            <w:vAlign w:val="bottom"/>
            <w:gridSpan w:val="3"/>
          </w:tcPr>
          <w:p>
            <w:pPr>
              <w:spacing w:after="0"/>
              <w:rPr>
                <w:sz w:val="20"/>
                <w:szCs w:val="20"/>
                <w:color w:val="auto"/>
              </w:rPr>
            </w:pPr>
            <w:r>
              <w:rPr>
                <w:rFonts w:ascii="Arial" w:cs="Arial" w:eastAsia="Arial" w:hAnsi="Arial"/>
                <w:sz w:val="13"/>
                <w:szCs w:val="13"/>
                <w:b w:val="1"/>
                <w:bCs w:val="1"/>
                <w:color w:val="auto"/>
              </w:rPr>
              <w:t>Options</w:t>
            </w:r>
          </w:p>
        </w:tc>
        <w:tc>
          <w:tcPr>
            <w:tcW w:w="170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Shares</w:t>
            </w:r>
          </w:p>
        </w:tc>
        <w:tc>
          <w:tcPr>
            <w:tcW w:w="1040" w:type="dxa"/>
            <w:vAlign w:val="bottom"/>
          </w:tcPr>
          <w:p>
            <w:pPr>
              <w:jc w:val="center"/>
              <w:ind w:left="348"/>
              <w:spacing w:after="0"/>
              <w:rPr>
                <w:sz w:val="20"/>
                <w:szCs w:val="20"/>
                <w:color w:val="auto"/>
              </w:rPr>
            </w:pPr>
            <w:r>
              <w:rPr>
                <w:rFonts w:ascii="Arial" w:cs="Arial" w:eastAsia="Arial" w:hAnsi="Arial"/>
                <w:sz w:val="13"/>
                <w:szCs w:val="13"/>
                <w:b w:val="1"/>
                <w:bCs w:val="1"/>
                <w:color w:val="auto"/>
                <w:w w:val="94"/>
              </w:rPr>
              <w:t>Price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left="255"/>
              <w:spacing w:after="0"/>
              <w:rPr>
                <w:sz w:val="20"/>
                <w:szCs w:val="20"/>
                <w:color w:val="auto"/>
              </w:rPr>
            </w:pPr>
            <w:r>
              <w:rPr>
                <w:rFonts w:ascii="Arial" w:cs="Arial" w:eastAsia="Arial" w:hAnsi="Arial"/>
                <w:sz w:val="13"/>
                <w:szCs w:val="13"/>
                <w:b w:val="1"/>
                <w:bCs w:val="1"/>
                <w:color w:val="auto"/>
                <w:w w:val="93"/>
              </w:rPr>
              <w:t>Life (in Years)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Value</w:t>
            </w:r>
          </w:p>
        </w:tc>
      </w:tr>
      <w:tr>
        <w:trPr>
          <w:trHeight w:val="189"/>
        </w:trPr>
        <w:tc>
          <w:tcPr>
            <w:tcW w:w="28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4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Balance at January 1, 2008</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2,606,569</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720" w:type="dxa"/>
            <w:vAlign w:val="bottom"/>
            <w:gridSpan w:val="3"/>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396,865</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15.53</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(160,135 )</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4720" w:type="dxa"/>
            <w:vAlign w:val="bottom"/>
            <w:gridSpan w:val="3"/>
          </w:tcPr>
          <w:p>
            <w:pPr>
              <w:spacing w:after="0"/>
              <w:rPr>
                <w:sz w:val="20"/>
                <w:szCs w:val="20"/>
                <w:color w:val="auto"/>
              </w:rPr>
            </w:pPr>
            <w:r>
              <w:rPr>
                <w:rFonts w:ascii="Arial" w:cs="Arial" w:eastAsia="Arial" w:hAnsi="Arial"/>
                <w:sz w:val="16"/>
                <w:szCs w:val="16"/>
                <w:color w:val="auto"/>
              </w:rPr>
              <w:t>Forfeited</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(50,329 )</w:t>
            </w: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12.82</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9"/>
        </w:trPr>
        <w:tc>
          <w:tcPr>
            <w:tcW w:w="28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36"/>
        </w:trPr>
        <w:tc>
          <w:tcPr>
            <w:tcW w:w="47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Balance at December 31, 2008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2,792,970</w:t>
            </w: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11.04</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6.89</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2,387,332</w:t>
            </w:r>
          </w:p>
        </w:tc>
        <w:tc>
          <w:tcPr>
            <w:tcW w:w="140" w:type="dxa"/>
            <w:vAlign w:val="bottom"/>
            <w:tcBorders>
              <w:bottom w:val="single" w:sz="8" w:color="CCEEFF"/>
            </w:tcBorders>
          </w:tcPr>
          <w:p>
            <w:pPr>
              <w:spacing w:after="0"/>
              <w:rPr>
                <w:sz w:val="20"/>
                <w:szCs w:val="20"/>
                <w:color w:val="auto"/>
              </w:rPr>
            </w:pPr>
          </w:p>
        </w:tc>
      </w:tr>
      <w:tr>
        <w:trPr>
          <w:trHeight w:val="173"/>
        </w:trPr>
        <w:tc>
          <w:tcPr>
            <w:tcW w:w="28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6"/>
        </w:trPr>
        <w:tc>
          <w:tcPr>
            <w:tcW w:w="4720" w:type="dxa"/>
            <w:vAlign w:val="bottom"/>
            <w:gridSpan w:val="3"/>
          </w:tcPr>
          <w:p>
            <w:pPr>
              <w:spacing w:after="0"/>
              <w:rPr>
                <w:sz w:val="20"/>
                <w:szCs w:val="20"/>
                <w:color w:val="auto"/>
              </w:rPr>
            </w:pPr>
            <w:r>
              <w:rPr>
                <w:rFonts w:ascii="Arial" w:cs="Arial" w:eastAsia="Arial" w:hAnsi="Arial"/>
                <w:sz w:val="16"/>
                <w:szCs w:val="16"/>
                <w:color w:val="auto"/>
              </w:rPr>
              <w:t>Vested and exercisable at December 31, 2008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999,368</w:t>
            </w: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5.45</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2,344,646</w:t>
            </w:r>
          </w:p>
        </w:tc>
        <w:tc>
          <w:tcPr>
            <w:tcW w:w="14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5"/>
        </w:trPr>
        <w:tc>
          <w:tcPr>
            <w:tcW w:w="288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86"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aggregate intrinsic value in the preceding table represents the total pretax intrinsic value, based on an average of the closing price as of December 31, 2008, of the Company’s Class A common stock and Class B common stock of $8.38. The total intrinsic value of options exercised was $1.7 million during the year ended December 31, 2008, $6.1 million during the year ended December 31, 2007, and $6.3 million during the year ended December 31, 2006.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shares as of December 31, 2008, and changes during the year ended December 31, 2008, follows:</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Weighted</w:t>
            </w:r>
          </w:p>
        </w:tc>
      </w:tr>
      <w:tr>
        <w:trPr>
          <w:trHeight w:val="135"/>
        </w:trPr>
        <w:tc>
          <w:tcPr>
            <w:tcW w:w="5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Average</w:t>
            </w:r>
          </w:p>
        </w:tc>
      </w:tr>
      <w:tr>
        <w:trPr>
          <w:trHeight w:val="135"/>
        </w:trPr>
        <w:tc>
          <w:tcPr>
            <w:tcW w:w="5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jc w:val="right"/>
              <w:ind w:right="640"/>
              <w:spacing w:after="0" w:line="135"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Grant Date</w:t>
            </w:r>
          </w:p>
        </w:tc>
      </w:tr>
      <w:tr>
        <w:trPr>
          <w:trHeight w:val="155"/>
        </w:trPr>
        <w:tc>
          <w:tcPr>
            <w:tcW w:w="5240" w:type="dxa"/>
            <w:vAlign w:val="bottom"/>
            <w:gridSpan w:val="2"/>
          </w:tcPr>
          <w:p>
            <w:pPr>
              <w:spacing w:after="0"/>
              <w:rPr>
                <w:sz w:val="20"/>
                <w:szCs w:val="20"/>
                <w:color w:val="auto"/>
              </w:rPr>
            </w:pPr>
            <w:r>
              <w:rPr>
                <w:rFonts w:ascii="Arial" w:cs="Arial" w:eastAsia="Arial" w:hAnsi="Arial"/>
                <w:sz w:val="13"/>
                <w:szCs w:val="13"/>
                <w:b w:val="1"/>
                <w:bCs w:val="1"/>
                <w:color w:val="auto"/>
              </w:rPr>
              <w:t>Non-vested Shares</w:t>
            </w:r>
          </w:p>
        </w:tc>
        <w:tc>
          <w:tcPr>
            <w:tcW w:w="17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Fair Value</w:t>
            </w:r>
          </w:p>
        </w:tc>
      </w:tr>
      <w:tr>
        <w:trPr>
          <w:trHeight w:val="189"/>
        </w:trPr>
        <w:tc>
          <w:tcPr>
            <w:tcW w:w="5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at January 1, 2008</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1,907,978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7"/>
                <w:szCs w:val="17"/>
                <w:color w:val="auto"/>
              </w:rPr>
            </w:pPr>
          </w:p>
        </w:tc>
      </w:tr>
      <w:tr>
        <w:trPr>
          <w:trHeight w:val="196"/>
        </w:trPr>
        <w:tc>
          <w:tcPr>
            <w:tcW w:w="52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396,865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5.62</w:t>
            </w:r>
          </w:p>
        </w:tc>
        <w:tc>
          <w:tcPr>
            <w:tcW w:w="80" w:type="dxa"/>
            <w:vAlign w:val="bottom"/>
          </w:tcPr>
          <w:p>
            <w:pPr>
              <w:spacing w:after="0"/>
              <w:rPr>
                <w:sz w:val="17"/>
                <w:szCs w:val="17"/>
                <w:color w:val="auto"/>
              </w:rPr>
            </w:pPr>
          </w:p>
        </w:tc>
      </w:tr>
      <w:tr>
        <w:trPr>
          <w:trHeight w:val="196"/>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(462,632 )</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80" w:type="dxa"/>
            <w:vAlign w:val="bottom"/>
            <w:shd w:val="clear" w:color="auto" w:fill="CCEEFF"/>
          </w:tcPr>
          <w:p>
            <w:pPr>
              <w:spacing w:after="0"/>
              <w:rPr>
                <w:sz w:val="17"/>
                <w:szCs w:val="17"/>
                <w:color w:val="auto"/>
              </w:rPr>
            </w:pPr>
          </w:p>
        </w:tc>
      </w:tr>
      <w:tr>
        <w:trPr>
          <w:trHeight w:val="196"/>
        </w:trPr>
        <w:tc>
          <w:tcPr>
            <w:tcW w:w="524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(48,609 )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7"/>
                <w:szCs w:val="17"/>
                <w:color w:val="auto"/>
              </w:rPr>
            </w:pPr>
          </w:p>
        </w:tc>
      </w:tr>
      <w:tr>
        <w:trPr>
          <w:trHeight w:val="189"/>
        </w:trPr>
        <w:tc>
          <w:tcPr>
            <w:tcW w:w="50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5240" w:type="dxa"/>
            <w:vAlign w:val="bottom"/>
            <w:gridSpan w:val="2"/>
          </w:tcPr>
          <w:p>
            <w:pPr>
              <w:spacing w:after="0"/>
              <w:rPr>
                <w:sz w:val="20"/>
                <w:szCs w:val="20"/>
                <w:color w:val="auto"/>
              </w:rPr>
            </w:pPr>
            <w:r>
              <w:rPr>
                <w:rFonts w:ascii="Arial" w:cs="Arial" w:eastAsia="Arial" w:hAnsi="Arial"/>
                <w:sz w:val="16"/>
                <w:szCs w:val="16"/>
                <w:color w:val="auto"/>
              </w:rPr>
              <w:t>Non-vested at December 31, 2008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1,793,602</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8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7" w:right="239" w:bottom="0" w:gutter="0" w:footer="0" w:header="0"/>
        </w:sectPr>
      </w:pPr>
    </w:p>
    <w:bookmarkStart w:id="36" w:name="page37"/>
    <w:bookmarkEnd w:id="36"/>
    <w:p>
      <w:pPr>
        <w:ind w:left="2" w:right="260"/>
        <w:spacing w:after="0" w:line="286" w:lineRule="auto"/>
        <w:rPr>
          <w:sz w:val="20"/>
          <w:szCs w:val="20"/>
          <w:color w:val="auto"/>
        </w:rPr>
      </w:pPr>
      <w:r>
        <w:rPr>
          <w:rFonts w:ascii="Arial" w:cs="Arial" w:eastAsia="Arial" w:hAnsi="Arial"/>
          <w:sz w:val="16"/>
          <w:szCs w:val="16"/>
          <w:color w:val="auto"/>
        </w:rPr>
        <w:t>The total fair value of options vested was $1.4 million during the year ended December 31, 2008, $2.0 million during the year ended December 31, 2007, and $1.6 million during the year ended December 31, 2006.</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Restricted Stock Awards</w:t>
      </w:r>
    </w:p>
    <w:p>
      <w:pPr>
        <w:spacing w:after="0" w:line="209" w:lineRule="exact"/>
        <w:rPr>
          <w:sz w:val="20"/>
          <w:szCs w:val="20"/>
          <w:color w:val="auto"/>
        </w:rPr>
      </w:pPr>
    </w:p>
    <w:p>
      <w:pPr>
        <w:ind w:left="2" w:right="140"/>
        <w:spacing w:after="0" w:line="266" w:lineRule="auto"/>
        <w:rPr>
          <w:sz w:val="20"/>
          <w:szCs w:val="20"/>
          <w:color w:val="auto"/>
        </w:rPr>
      </w:pPr>
      <w:r>
        <w:rPr>
          <w:rFonts w:ascii="Arial" w:cs="Arial" w:eastAsia="Arial" w:hAnsi="Arial"/>
          <w:sz w:val="16"/>
          <w:szCs w:val="16"/>
          <w:color w:val="auto"/>
        </w:rPr>
        <w:t>The Company granted restricted stock awards to its employees under the 2007 Incentive Plan and unrestricted stock awards to its non-employee directors under the Director Plan. The shares granted to employees carry a legend which restricts their transferability for a term of one to three years and are forfeited in the event the recipient’s employment or relationship with the Company is terminated prior to the lapse of the restriction. The fair value of the restricted stock awards to the Company’s employees is amortized to expense on a straight-line basis over the restricted stock’s vesting period.</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presents a summary of the Company’s restricted stock awards outstanding at December 31, 2008:</w:t>
      </w:r>
    </w:p>
    <w:p>
      <w:pPr>
        <w:spacing w:after="0" w:line="186" w:lineRule="exact"/>
        <w:rPr>
          <w:sz w:val="20"/>
          <w:szCs w:val="20"/>
          <w:color w:val="auto"/>
        </w:rPr>
      </w:pPr>
    </w:p>
    <w:tbl>
      <w:tblPr>
        <w:tblLayout w:type="fixed"/>
        <w:tblInd w:w="1442"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Weighted</w:t>
            </w:r>
          </w:p>
        </w:tc>
      </w:tr>
      <w:tr>
        <w:trPr>
          <w:trHeight w:val="135"/>
        </w:trPr>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9"/>
              </w:rPr>
              <w:t>Average</w:t>
            </w:r>
          </w:p>
        </w:tc>
      </w:tr>
      <w:tr>
        <w:trPr>
          <w:trHeight w:val="135"/>
        </w:trPr>
        <w:tc>
          <w:tcPr>
            <w:tcW w:w="5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right"/>
              <w:ind w:right="640"/>
              <w:spacing w:after="0" w:line="135"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3"/>
              </w:rPr>
              <w:t>Grant Date</w:t>
            </w:r>
          </w:p>
        </w:tc>
      </w:tr>
      <w:tr>
        <w:trPr>
          <w:trHeight w:val="155"/>
        </w:trPr>
        <w:tc>
          <w:tcPr>
            <w:tcW w:w="5220" w:type="dxa"/>
            <w:vAlign w:val="bottom"/>
            <w:gridSpan w:val="2"/>
          </w:tcPr>
          <w:p>
            <w:pPr>
              <w:spacing w:after="0"/>
              <w:rPr>
                <w:sz w:val="20"/>
                <w:szCs w:val="20"/>
                <w:color w:val="auto"/>
              </w:rPr>
            </w:pPr>
            <w:r>
              <w:rPr>
                <w:rFonts w:ascii="Arial" w:cs="Arial" w:eastAsia="Arial" w:hAnsi="Arial"/>
                <w:sz w:val="13"/>
                <w:szCs w:val="13"/>
                <w:b w:val="1"/>
                <w:bCs w:val="1"/>
                <w:color w:val="auto"/>
              </w:rPr>
              <w:t>Restricted Stock Awards</w:t>
            </w:r>
          </w:p>
        </w:tc>
        <w:tc>
          <w:tcPr>
            <w:tcW w:w="17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Fair Value</w:t>
            </w:r>
          </w:p>
        </w:tc>
      </w:tr>
      <w:tr>
        <w:trPr>
          <w:trHeight w:val="189"/>
        </w:trPr>
        <w:tc>
          <w:tcPr>
            <w:tcW w:w="50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January 1, 2008</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522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103,454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7"/>
                <w:szCs w:val="17"/>
                <w:color w:val="auto"/>
              </w:rPr>
            </w:pPr>
          </w:p>
        </w:tc>
      </w:tr>
      <w:tr>
        <w:trPr>
          <w:trHeight w:val="196"/>
        </w:trPr>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(30,264 )</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17"/>
                <w:szCs w:val="17"/>
                <w:color w:val="auto"/>
              </w:rPr>
            </w:pPr>
          </w:p>
        </w:tc>
      </w:tr>
      <w:tr>
        <w:trPr>
          <w:trHeight w:val="196"/>
        </w:trPr>
        <w:tc>
          <w:tcPr>
            <w:tcW w:w="522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6"/>
                <w:szCs w:val="16"/>
                <w:color w:val="auto"/>
              </w:rPr>
              <w:t>(1,430 )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7"/>
                <w:szCs w:val="17"/>
                <w:color w:val="auto"/>
              </w:rPr>
            </w:pPr>
          </w:p>
        </w:tc>
      </w:tr>
      <w:tr>
        <w:trPr>
          <w:trHeight w:val="189"/>
        </w:trPr>
        <w:tc>
          <w:tcPr>
            <w:tcW w:w="50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5220" w:type="dxa"/>
            <w:vAlign w:val="bottom"/>
            <w:gridSpan w:val="2"/>
          </w:tcPr>
          <w:p>
            <w:pPr>
              <w:spacing w:after="0"/>
              <w:rPr>
                <w:sz w:val="20"/>
                <w:szCs w:val="20"/>
                <w:color w:val="auto"/>
              </w:rPr>
            </w:pPr>
            <w:r>
              <w:rPr>
                <w:rFonts w:ascii="Arial" w:cs="Arial" w:eastAsia="Arial" w:hAnsi="Arial"/>
                <w:sz w:val="16"/>
                <w:szCs w:val="16"/>
                <w:color w:val="auto"/>
              </w:rPr>
              <w:t>Outstanding, December 31, 2008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71,760</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total fair market value of the shares issued upon the vesting of restricted stock awards during the year ended December 31, 2008 was $0.5 million.</w:t>
      </w:r>
    </w:p>
    <w:p>
      <w:pPr>
        <w:spacing w:after="0" w:line="209" w:lineRule="exact"/>
        <w:rPr>
          <w:sz w:val="20"/>
          <w:szCs w:val="20"/>
          <w:color w:val="auto"/>
        </w:rPr>
      </w:pPr>
    </w:p>
    <w:p>
      <w:pPr>
        <w:ind w:left="2" w:right="360"/>
        <w:spacing w:after="0" w:line="286" w:lineRule="auto"/>
        <w:rPr>
          <w:sz w:val="20"/>
          <w:szCs w:val="20"/>
          <w:color w:val="auto"/>
        </w:rPr>
      </w:pPr>
      <w:r>
        <w:rPr>
          <w:rFonts w:ascii="Arial" w:cs="Arial" w:eastAsia="Arial" w:hAnsi="Arial"/>
          <w:sz w:val="16"/>
          <w:szCs w:val="16"/>
          <w:color w:val="auto"/>
        </w:rPr>
        <w:t>As of December 31, 2008, there was $4.2 million of total unrecognized compensation cost related to unvested share-based compensation arrangements granted under the Incentive Plan and the 2007 Incentive Plan. That cost is expected to be recognized over a weighted-average period of 2.8 years.</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402" w:hanging="402"/>
        <w:spacing w:after="0"/>
        <w:tabs>
          <w:tab w:leader="none" w:pos="40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STOCK DIVIDEND AND STOCK REPURCHASE PLAN</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Stock Dividend</w:t>
      </w:r>
    </w:p>
    <w:p>
      <w:pPr>
        <w:spacing w:after="0" w:line="209" w:lineRule="exact"/>
        <w:rPr>
          <w:sz w:val="20"/>
          <w:szCs w:val="20"/>
          <w:color w:val="auto"/>
        </w:rPr>
      </w:pPr>
    </w:p>
    <w:p>
      <w:pPr>
        <w:ind w:left="2" w:right="40"/>
        <w:spacing w:after="0" w:line="262" w:lineRule="auto"/>
        <w:rPr>
          <w:sz w:val="20"/>
          <w:szCs w:val="20"/>
          <w:color w:val="auto"/>
        </w:rPr>
      </w:pPr>
      <w:r>
        <w:rPr>
          <w:rFonts w:ascii="Arial" w:cs="Arial" w:eastAsia="Arial" w:hAnsi="Arial"/>
          <w:sz w:val="16"/>
          <w:szCs w:val="16"/>
          <w:color w:val="auto"/>
        </w:rPr>
        <w:t>On September 20, 2007, our shareholders approved an amendment to our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and Class B common stock held by shareholders of record as of October 1, 2007. All share and per share data (except par value) in this Form 10-K have been adjusted and restated to reflect the stock dividend as if it occurred on the first day of the earliest period presented.</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Stock Repurchase Plan</w:t>
      </w:r>
    </w:p>
    <w:p>
      <w:pPr>
        <w:spacing w:after="0" w:line="209" w:lineRule="exact"/>
        <w:rPr>
          <w:sz w:val="20"/>
          <w:szCs w:val="20"/>
          <w:color w:val="auto"/>
        </w:rPr>
      </w:pPr>
    </w:p>
    <w:p>
      <w:pPr>
        <w:ind w:left="2" w:right="20"/>
        <w:spacing w:after="0" w:line="261" w:lineRule="auto"/>
        <w:rPr>
          <w:sz w:val="20"/>
          <w:szCs w:val="20"/>
          <w:color w:val="auto"/>
        </w:rPr>
      </w:pPr>
      <w:r>
        <w:rPr>
          <w:rFonts w:ascii="Arial" w:cs="Arial" w:eastAsia="Arial" w:hAnsi="Arial"/>
          <w:sz w:val="16"/>
          <w:szCs w:val="16"/>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69" w:lineRule="exact"/>
        <w:rPr>
          <w:sz w:val="20"/>
          <w:szCs w:val="20"/>
          <w:color w:val="auto"/>
        </w:rPr>
      </w:pPr>
    </w:p>
    <w:p>
      <w:pPr>
        <w:ind w:left="2" w:right="140"/>
        <w:spacing w:after="0" w:line="271" w:lineRule="auto"/>
        <w:rPr>
          <w:sz w:val="20"/>
          <w:szCs w:val="20"/>
          <w:color w:val="auto"/>
        </w:rPr>
      </w:pPr>
      <w:r>
        <w:rPr>
          <w:rFonts w:ascii="Arial" w:cs="Arial" w:eastAsia="Arial" w:hAnsi="Arial"/>
          <w:sz w:val="16"/>
          <w:szCs w:val="16"/>
          <w:color w:val="auto"/>
        </w:rPr>
        <w:t>As of December 31, 2008, the Company repurchased 1,639,843 shares of Class B common stock at a cost of $17.9 million. The Company is holding the repurchased shares of the common stock as treasury stock and is accounting for the treasury stock pursuant to the cost method. The Company includes treasury stock as a component of stockholders’ equity.</w:t>
      </w:r>
    </w:p>
    <w:p>
      <w:pPr>
        <w:spacing w:after="0" w:line="162" w:lineRule="exact"/>
        <w:rPr>
          <w:sz w:val="20"/>
          <w:szCs w:val="20"/>
          <w:color w:val="auto"/>
        </w:rPr>
      </w:pPr>
    </w:p>
    <w:p>
      <w:pPr>
        <w:ind w:left="402" w:hanging="402"/>
        <w:spacing w:after="0"/>
        <w:tabs>
          <w:tab w:leader="none" w:pos="40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r>
        <w:rPr>
          <w:rFonts w:ascii="Arial" w:cs="Arial" w:eastAsia="Arial" w:hAnsi="Arial"/>
          <w:sz w:val="16"/>
          <w:szCs w:val="16"/>
          <w:color w:val="auto"/>
        </w:rPr>
        <w:t>:</w:t>
      </w:r>
    </w:p>
    <w:p>
      <w:pPr>
        <w:spacing w:after="0" w:line="209" w:lineRule="exact"/>
        <w:rPr>
          <w:sz w:val="20"/>
          <w:szCs w:val="20"/>
          <w:color w:val="auto"/>
        </w:rPr>
      </w:pPr>
    </w:p>
    <w:p>
      <w:pPr>
        <w:ind w:left="2" w:right="140"/>
        <w:spacing w:after="0" w:line="315" w:lineRule="auto"/>
        <w:rPr>
          <w:sz w:val="20"/>
          <w:szCs w:val="20"/>
          <w:color w:val="auto"/>
        </w:rPr>
      </w:pPr>
      <w:r>
        <w:rPr>
          <w:rFonts w:ascii="Arial" w:cs="Arial" w:eastAsia="Arial" w:hAnsi="Arial"/>
          <w:sz w:val="14"/>
          <w:szCs w:val="14"/>
          <w:color w:val="auto"/>
        </w:rPr>
        <w:t>Basic earnings per share (“EPS”) were computed by dividing net income by the weighted average number of shares of common stock outstanding during the period. Diluted EPS differs from basic EPS due to the assumed conversions of potentially dilutive options and warrants that were outstanding during the period. The Company’s Class A common stock and Class B common stock have equal claims on earnings of the Company. The following is a reconciliation of the numerators and the denominators of the basic and diluted per share computations for net income. Share and per share data for 2006 has been adjusted and restated to reflect the stock dividend discussed above.</w:t>
      </w:r>
    </w:p>
    <w:p>
      <w:pPr>
        <w:spacing w:after="0" w:line="13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69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2008</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2007</w:t>
            </w: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2006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20" w:type="dxa"/>
            <w:vAlign w:val="bottom"/>
          </w:tcPr>
          <w:p>
            <w:pPr>
              <w:ind w:left="180"/>
              <w:spacing w:after="0"/>
              <w:rPr>
                <w:sz w:val="20"/>
                <w:szCs w:val="20"/>
                <w:color w:val="auto"/>
              </w:rPr>
            </w:pPr>
            <w:r>
              <w:rPr>
                <w:rFonts w:ascii="Arial" w:cs="Arial" w:eastAsia="Arial" w:hAnsi="Arial"/>
                <w:sz w:val="16"/>
                <w:szCs w:val="16"/>
                <w:color w:val="auto"/>
              </w:rPr>
              <w:t>Numerator for basic and diluted earnings per share-</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28,865,000</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51,492,000</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58,786,000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 weighted average shares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38,088,687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38,059,240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37,475,426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options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498,263</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686,477</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Denominator for diluted earnings per share, adjusted weighted average shares and assumed</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38,586,950</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38,745,717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37,889,330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conversions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2"/>
          </w:cols>
          <w:pgMar w:left="238" w:top="127"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common share</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7"/>
                <w:szCs w:val="17"/>
                <w:color w:val="auto"/>
              </w:rPr>
            </w:pPr>
          </w:p>
        </w:tc>
      </w:tr>
      <w:tr>
        <w:trPr>
          <w:trHeight w:val="189"/>
        </w:trPr>
        <w:tc>
          <w:tcPr>
            <w:tcW w:w="6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 and common share equivalents</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Options to purchase shares of common stock that were outstanding for the years ended December 31, 2008, 2007 and 2006 that were not included in the computation of diluted earnings per share because the exercise prices were greater than the average market prices of the common shares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2008</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304"/>
              <w:spacing w:after="0"/>
              <w:rPr>
                <w:sz w:val="20"/>
                <w:szCs w:val="20"/>
                <w:color w:val="auto"/>
              </w:rPr>
            </w:pPr>
            <w:r>
              <w:rPr>
                <w:rFonts w:ascii="Arial" w:cs="Arial" w:eastAsia="Arial" w:hAnsi="Arial"/>
                <w:sz w:val="13"/>
                <w:szCs w:val="13"/>
                <w:b w:val="1"/>
                <w:bCs w:val="1"/>
                <w:color w:val="auto"/>
                <w:w w:val="89"/>
              </w:rPr>
              <w:t>2007</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3"/>
                <w:szCs w:val="13"/>
                <w:b w:val="1"/>
                <w:bCs w:val="1"/>
                <w:color w:val="auto"/>
                <w:w w:val="96"/>
              </w:rPr>
              <w:t>2006</w:t>
            </w:r>
          </w:p>
        </w:tc>
        <w:tc>
          <w:tcPr>
            <w:tcW w:w="100" w:type="dxa"/>
            <w:vAlign w:val="bottom"/>
            <w:tcBorders>
              <w:bottom w:val="single" w:sz="8" w:color="CCEEFF"/>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Options</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545,215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157,500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393,925</w:t>
            </w:r>
          </w:p>
        </w:tc>
        <w:tc>
          <w:tcPr>
            <w:tcW w:w="100" w:type="dxa"/>
            <w:vAlign w:val="bottom"/>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anti-dilutive securities</w:t>
            </w: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545,215</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157,500</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393,925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gridSpan w:val="7"/>
            <w:vMerge w:val="restart"/>
          </w:tcPr>
          <w:p>
            <w:pPr>
              <w:spacing w:after="0"/>
              <w:rPr>
                <w:sz w:val="20"/>
                <w:szCs w:val="20"/>
                <w:color w:val="auto"/>
              </w:rPr>
            </w:pPr>
            <w:r>
              <w:rPr>
                <w:rFonts w:ascii="Arial" w:cs="Arial" w:eastAsia="Arial" w:hAnsi="Arial"/>
                <w:sz w:val="16"/>
                <w:szCs w:val="16"/>
                <w:color w:val="auto"/>
              </w:rPr>
              <w:t>15.  INCOME TAXES: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38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380" w:type="dxa"/>
            <w:vAlign w:val="bottom"/>
            <w:gridSpan w:val="7"/>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380" w:type="dxa"/>
            <w:vAlign w:val="bottom"/>
            <w:gridSpan w:val="7"/>
          </w:tcPr>
          <w:p>
            <w:pPr>
              <w:spacing w:after="0"/>
              <w:rPr>
                <w:sz w:val="20"/>
                <w:szCs w:val="20"/>
                <w:color w:val="auto"/>
              </w:rPr>
            </w:pPr>
            <w:r>
              <w:rPr>
                <w:rFonts w:ascii="Arial" w:cs="Arial" w:eastAsia="Arial" w:hAnsi="Arial"/>
                <w:sz w:val="16"/>
                <w:szCs w:val="16"/>
                <w:color w:val="auto"/>
              </w:rPr>
              <w:t>The tax provisions are summarized as follows (in thousands):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center"/>
              <w:ind w:left="6"/>
              <w:spacing w:after="0"/>
              <w:rPr>
                <w:sz w:val="20"/>
                <w:szCs w:val="20"/>
                <w:color w:val="auto"/>
              </w:rPr>
            </w:pPr>
            <w:r>
              <w:rPr>
                <w:rFonts w:ascii="Arial" w:cs="Arial" w:eastAsia="Arial" w:hAnsi="Arial"/>
                <w:sz w:val="13"/>
                <w:szCs w:val="13"/>
                <w:b w:val="1"/>
                <w:bCs w:val="1"/>
                <w:color w:val="auto"/>
                <w:w w:val="90"/>
              </w:rPr>
              <w:t>Year Ended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81"/>
              <w:spacing w:after="0" w:line="128" w:lineRule="exact"/>
              <w:rPr>
                <w:sz w:val="20"/>
                <w:szCs w:val="20"/>
                <w:color w:val="auto"/>
              </w:rPr>
            </w:pPr>
            <w:r>
              <w:rPr>
                <w:rFonts w:ascii="Arial" w:cs="Arial" w:eastAsia="Arial" w:hAnsi="Arial"/>
                <w:sz w:val="13"/>
                <w:szCs w:val="13"/>
                <w:b w:val="1"/>
                <w:bCs w:val="1"/>
                <w:color w:val="auto"/>
              </w:rPr>
              <w:t>2008</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264"/>
              <w:spacing w:after="0" w:line="128" w:lineRule="exact"/>
              <w:rPr>
                <w:sz w:val="20"/>
                <w:szCs w:val="20"/>
                <w:color w:val="auto"/>
              </w:rPr>
            </w:pPr>
            <w:r>
              <w:rPr>
                <w:rFonts w:ascii="Arial" w:cs="Arial" w:eastAsia="Arial" w:hAnsi="Arial"/>
                <w:sz w:val="13"/>
                <w:szCs w:val="13"/>
                <w:b w:val="1"/>
                <w:bCs w:val="1"/>
                <w:color w:val="auto"/>
                <w:w w:val="89"/>
              </w:rPr>
              <w:t>2007</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403"/>
              <w:spacing w:after="0" w:line="128" w:lineRule="exact"/>
              <w:rPr>
                <w:sz w:val="20"/>
                <w:szCs w:val="20"/>
                <w:color w:val="auto"/>
              </w:rPr>
            </w:pPr>
            <w:r>
              <w:rPr>
                <w:rFonts w:ascii="Arial" w:cs="Arial" w:eastAsia="Arial" w:hAnsi="Arial"/>
                <w:sz w:val="13"/>
                <w:szCs w:val="13"/>
                <w:b w:val="1"/>
                <w:bCs w:val="1"/>
                <w:color w:val="auto"/>
                <w:w w:val="96"/>
              </w:rPr>
              <w:t>2006</w:t>
            </w:r>
          </w:p>
        </w:tc>
        <w:tc>
          <w:tcPr>
            <w:tcW w:w="100" w:type="dxa"/>
            <w:vAlign w:val="bottom"/>
            <w:tcBorders>
              <w:bottom w:val="single" w:sz="8" w:color="CCEEFF"/>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20" w:type="dxa"/>
            <w:vAlign w:val="bottom"/>
            <w:gridSpan w:val="4"/>
            <w:shd w:val="clear" w:color="auto" w:fill="CCEEFF"/>
          </w:tcPr>
          <w:p>
            <w:pPr>
              <w:spacing w:after="0" w:line="176" w:lineRule="exact"/>
              <w:rPr>
                <w:sz w:val="20"/>
                <w:szCs w:val="20"/>
                <w:color w:val="auto"/>
              </w:rPr>
            </w:pPr>
            <w:r>
              <w:rPr>
                <w:rFonts w:ascii="Arial" w:cs="Arial" w:eastAsia="Arial" w:hAnsi="Arial"/>
                <w:sz w:val="16"/>
                <w:szCs w:val="16"/>
                <w:color w:val="auto"/>
              </w:rPr>
              <w:t>Current provision-</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gridSpan w:val="4"/>
          </w:tcPr>
          <w:p>
            <w:pPr>
              <w:ind w:left="180"/>
              <w:spacing w:after="0"/>
              <w:rPr>
                <w:sz w:val="20"/>
                <w:szCs w:val="20"/>
                <w:color w:val="auto"/>
              </w:rPr>
            </w:pPr>
            <w:r>
              <w:rPr>
                <w:rFonts w:ascii="Arial" w:cs="Arial" w:eastAsia="Arial" w:hAnsi="Arial"/>
                <w:sz w:val="16"/>
                <w:szCs w:val="16"/>
                <w:color w:val="auto"/>
              </w:rPr>
              <w:t>Federal</w:t>
            </w:r>
          </w:p>
        </w:tc>
        <w:tc>
          <w:tcPr>
            <w:tcW w:w="300" w:type="dxa"/>
            <w:vAlign w:val="bottom"/>
            <w:gridSpan w:val="2"/>
          </w:tcPr>
          <w:p>
            <w:pPr>
              <w:jc w:val="right"/>
              <w:ind w:right="123"/>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4,468</w:t>
            </w:r>
          </w:p>
        </w:tc>
        <w:tc>
          <w:tcPr>
            <w:tcW w:w="580" w:type="dxa"/>
            <w:vAlign w:val="bottom"/>
            <w:gridSpan w:val="3"/>
          </w:tcPr>
          <w:p>
            <w:pPr>
              <w:jc w:val="right"/>
              <w:ind w:right="178"/>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20,516</w:t>
            </w:r>
          </w:p>
        </w:tc>
        <w:tc>
          <w:tcPr>
            <w:tcW w:w="120" w:type="dxa"/>
            <w:vAlign w:val="bottom"/>
          </w:tcPr>
          <w:p>
            <w:pPr>
              <w:spacing w:after="0"/>
              <w:rPr>
                <w:sz w:val="17"/>
                <w:szCs w:val="17"/>
                <w:color w:val="auto"/>
              </w:rPr>
            </w:pPr>
          </w:p>
        </w:tc>
        <w:tc>
          <w:tcPr>
            <w:tcW w:w="520" w:type="dxa"/>
            <w:vAlign w:val="bottom"/>
            <w:gridSpan w:val="3"/>
          </w:tcPr>
          <w:p>
            <w:pPr>
              <w:jc w:val="right"/>
              <w:ind w:right="26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26,189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6,273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22,794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28,658</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Deferred provision-</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gridSpan w:val="4"/>
          </w:tcPr>
          <w:p>
            <w:pPr>
              <w:ind w:left="180"/>
              <w:spacing w:after="0"/>
              <w:rPr>
                <w:sz w:val="20"/>
                <w:szCs w:val="20"/>
                <w:color w:val="auto"/>
              </w:rPr>
            </w:pPr>
            <w:r>
              <w:rPr>
                <w:rFonts w:ascii="Arial" w:cs="Arial" w:eastAsia="Arial" w:hAnsi="Arial"/>
                <w:sz w:val="16"/>
                <w:szCs w:val="16"/>
                <w:color w:val="auto"/>
              </w:rPr>
              <w:t>Federal</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9,809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8,027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6,173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(511 )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9,949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16,222</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30,310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35,272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200" w:type="dxa"/>
            <w:vAlign w:val="bottom"/>
            <w:gridSpan w:val="14"/>
          </w:tcPr>
          <w:p>
            <w:pPr>
              <w:spacing w:after="0"/>
              <w:rPr>
                <w:sz w:val="20"/>
                <w:szCs w:val="20"/>
                <w:color w:val="auto"/>
              </w:rPr>
            </w:pPr>
            <w:r>
              <w:rPr>
                <w:rFonts w:ascii="Arial" w:cs="Arial" w:eastAsia="Arial" w:hAnsi="Arial"/>
                <w:sz w:val="16"/>
                <w:szCs w:val="16"/>
                <w:color w:val="auto"/>
                <w:w w:val="93"/>
              </w:rPr>
              <w:t>The following summarizes the components of deferred tax assets and liabilities included in the balance sheet (in thousands):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380" w:type="dxa"/>
            <w:vAlign w:val="bottom"/>
            <w:gridSpan w:val="7"/>
          </w:tcPr>
          <w:p>
            <w:pPr>
              <w:ind w:left="5640"/>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0" w:type="dxa"/>
            <w:vAlign w:val="bottom"/>
            <w:tcBorders>
              <w:bottom w:val="single" w:sz="8" w:color="010101"/>
            </w:tcBorders>
          </w:tcPr>
          <w:p>
            <w:pPr>
              <w:spacing w:after="0"/>
              <w:rPr>
                <w:sz w:val="10"/>
                <w:szCs w:val="10"/>
                <w:color w:val="auto"/>
              </w:rPr>
            </w:pPr>
          </w:p>
        </w:tc>
        <w:tc>
          <w:tcPr>
            <w:tcW w:w="80" w:type="dxa"/>
            <w:vAlign w:val="bottom"/>
            <w:tcBorders>
              <w:bottom w:val="single" w:sz="8" w:color="010101"/>
            </w:tcBorders>
          </w:tcPr>
          <w:p>
            <w:pPr>
              <w:spacing w:after="0"/>
              <w:rPr>
                <w:sz w:val="10"/>
                <w:szCs w:val="10"/>
                <w:color w:val="auto"/>
              </w:rPr>
            </w:pPr>
          </w:p>
        </w:tc>
        <w:tc>
          <w:tcPr>
            <w:tcW w:w="780" w:type="dxa"/>
            <w:vAlign w:val="bottom"/>
            <w:tcBorders>
              <w:bottom w:val="single" w:sz="8" w:color="010101"/>
            </w:tcBorders>
            <w:gridSpan w:val="2"/>
          </w:tcPr>
          <w:p>
            <w:pPr>
              <w:spacing w:after="0"/>
              <w:rPr>
                <w:sz w:val="10"/>
                <w:szCs w:val="10"/>
                <w:color w:val="auto"/>
              </w:rPr>
            </w:pPr>
          </w:p>
        </w:tc>
        <w:tc>
          <w:tcPr>
            <w:tcW w:w="42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458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92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360" w:type="dxa"/>
            <w:vAlign w:val="bottom"/>
            <w:tcBorders>
              <w:bottom w:val="single" w:sz="8" w:color="010101"/>
            </w:tcBorders>
          </w:tcPr>
          <w:p>
            <w:pPr>
              <w:spacing w:after="0"/>
              <w:rPr>
                <w:sz w:val="10"/>
                <w:szCs w:val="10"/>
                <w:color w:val="auto"/>
              </w:rPr>
            </w:pPr>
          </w:p>
        </w:tc>
        <w:tc>
          <w:tcPr>
            <w:tcW w:w="340" w:type="dxa"/>
            <w:vAlign w:val="bottom"/>
            <w:tcBorders>
              <w:bottom w:val="single" w:sz="8" w:color="010101"/>
            </w:tcBorders>
          </w:tcPr>
          <w:p>
            <w:pPr>
              <w:spacing w:after="0"/>
              <w:rPr>
                <w:sz w:val="10"/>
                <w:szCs w:val="10"/>
                <w:color w:val="auto"/>
              </w:rPr>
            </w:pPr>
          </w:p>
        </w:tc>
        <w:tc>
          <w:tcPr>
            <w:tcW w:w="5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42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58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475"/>
        </w:trPr>
        <w:tc>
          <w:tcPr>
            <w:tcW w:w="6380" w:type="dxa"/>
            <w:vAlign w:val="bottom"/>
            <w:gridSpan w:val="7"/>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5"/>
          </w:tcPr>
          <w:p>
            <w:pPr>
              <w:jc w:val="right"/>
              <w:ind w:right="40"/>
              <w:spacing w:after="0" w:line="128" w:lineRule="exact"/>
              <w:rPr>
                <w:sz w:val="20"/>
                <w:szCs w:val="20"/>
                <w:color w:val="auto"/>
              </w:rPr>
            </w:pPr>
            <w:r>
              <w:rPr>
                <w:rFonts w:ascii="Arial" w:cs="Arial" w:eastAsia="Arial" w:hAnsi="Arial"/>
                <w:sz w:val="13"/>
                <w:szCs w:val="13"/>
                <w:b w:val="1"/>
                <w:bCs w:val="1"/>
                <w:color w:val="auto"/>
              </w:rPr>
              <w:t>2008</w:t>
            </w:r>
          </w:p>
        </w:tc>
        <w:tc>
          <w:tcPr>
            <w:tcW w:w="420" w:type="dxa"/>
            <w:vAlign w:val="bottom"/>
          </w:tcPr>
          <w:p>
            <w:pPr>
              <w:spacing w:after="0"/>
              <w:rPr>
                <w:sz w:val="11"/>
                <w:szCs w:val="11"/>
                <w:color w:val="auto"/>
              </w:rPr>
            </w:pPr>
          </w:p>
        </w:tc>
        <w:tc>
          <w:tcPr>
            <w:tcW w:w="1340" w:type="dxa"/>
            <w:vAlign w:val="bottom"/>
            <w:gridSpan w:val="4"/>
          </w:tcPr>
          <w:p>
            <w:pPr>
              <w:jc w:val="right"/>
              <w:ind w:right="440"/>
              <w:spacing w:after="0" w:line="128" w:lineRule="exact"/>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6080" w:type="dxa"/>
            <w:vAlign w:val="bottom"/>
            <w:tcBorders>
              <w:top w:val="single" w:sz="8" w:color="CCEEFF"/>
            </w:tcBorders>
            <w:gridSpan w:val="6"/>
            <w:shd w:val="clear" w:color="auto" w:fill="CCEEFF"/>
          </w:tcPr>
          <w:p>
            <w:pPr>
              <w:spacing w:after="0" w:line="176" w:lineRule="exact"/>
              <w:rPr>
                <w:sz w:val="20"/>
                <w:szCs w:val="20"/>
                <w:color w:val="auto"/>
              </w:rPr>
            </w:pPr>
            <w:r>
              <w:rPr>
                <w:rFonts w:ascii="Arial" w:cs="Arial" w:eastAsia="Arial" w:hAnsi="Arial"/>
                <w:sz w:val="16"/>
                <w:szCs w:val="16"/>
                <w:color w:val="auto"/>
              </w:rPr>
              <w:t>Current:</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0" w:type="dxa"/>
            <w:vAlign w:val="bottom"/>
            <w:gridSpan w:val="5"/>
          </w:tcPr>
          <w:p>
            <w:pPr>
              <w:ind w:left="80"/>
              <w:spacing w:after="0"/>
              <w:rPr>
                <w:sz w:val="20"/>
                <w:szCs w:val="20"/>
                <w:color w:val="auto"/>
              </w:rPr>
            </w:pPr>
            <w:r>
              <w:rPr>
                <w:rFonts w:ascii="Arial" w:cs="Arial" w:eastAsia="Arial" w:hAnsi="Arial"/>
                <w:sz w:val="16"/>
                <w:szCs w:val="16"/>
                <w:color w:val="auto"/>
              </w:rPr>
              <w:t>Deferred tax assets: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Inventory</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780" w:type="dxa"/>
            <w:vAlign w:val="bottom"/>
            <w:gridSpan w:val="2"/>
            <w:shd w:val="clear" w:color="auto" w:fill="CCEEFF"/>
          </w:tcPr>
          <w:p>
            <w:pPr>
              <w:jc w:val="right"/>
              <w:ind w:right="423"/>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0" w:type="dxa"/>
            <w:vAlign w:val="bottom"/>
            <w:gridSpan w:val="5"/>
          </w:tcPr>
          <w:p>
            <w:pPr>
              <w:ind w:left="240"/>
              <w:spacing w:after="0"/>
              <w:rPr>
                <w:sz w:val="20"/>
                <w:szCs w:val="20"/>
                <w:color w:val="auto"/>
              </w:rPr>
            </w:pPr>
            <w:r>
              <w:rPr>
                <w:rFonts w:ascii="Arial" w:cs="Arial" w:eastAsia="Arial" w:hAnsi="Arial"/>
                <w:sz w:val="16"/>
                <w:szCs w:val="16"/>
                <w:color w:val="auto"/>
              </w:rPr>
              <w:t>Accounts receivable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Capital lease obligations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1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0" w:type="dxa"/>
            <w:vAlign w:val="bottom"/>
            <w:gridSpan w:val="5"/>
          </w:tcPr>
          <w:p>
            <w:pPr>
              <w:ind w:left="240"/>
              <w:spacing w:after="0"/>
              <w:rPr>
                <w:sz w:val="20"/>
                <w:szCs w:val="20"/>
                <w:color w:val="auto"/>
              </w:rPr>
            </w:pPr>
            <w:r>
              <w:rPr>
                <w:rFonts w:ascii="Arial" w:cs="Arial" w:eastAsia="Arial" w:hAnsi="Arial"/>
                <w:sz w:val="16"/>
                <w:szCs w:val="16"/>
                <w:color w:val="auto"/>
              </w:rPr>
              <w:t>Stock options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080" w:type="dxa"/>
            <w:vAlign w:val="bottom"/>
            <w:tcBorders>
              <w:bottom w:val="single" w:sz="8" w:color="CCEEFF"/>
            </w:tcBorders>
            <w:gridSpan w:val="6"/>
          </w:tcPr>
          <w:p>
            <w:pPr>
              <w:spacing w:after="0"/>
              <w:rPr>
                <w:sz w:val="20"/>
                <w:szCs w:val="20"/>
                <w:color w:val="auto"/>
              </w:rPr>
            </w:pPr>
            <w:r>
              <w:rPr>
                <w:rFonts w:ascii="Arial" w:cs="Arial" w:eastAsia="Arial" w:hAnsi="Arial"/>
                <w:sz w:val="16"/>
                <w:szCs w:val="16"/>
                <w:color w:val="auto"/>
              </w:rPr>
              <w:t>Current deferred tax asset</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6,730</w:t>
            </w: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Borders>
              <w:bottom w:val="single" w:sz="8" w:color="CCEEFF"/>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80" w:type="dxa"/>
            <w:vAlign w:val="bottom"/>
            <w:gridSpan w:val="6"/>
          </w:tcPr>
          <w:p>
            <w:pPr>
              <w:spacing w:after="0"/>
              <w:rPr>
                <w:sz w:val="20"/>
                <w:szCs w:val="20"/>
                <w:color w:val="auto"/>
              </w:rPr>
            </w:pPr>
            <w:r>
              <w:rPr>
                <w:rFonts w:ascii="Arial" w:cs="Arial" w:eastAsia="Arial" w:hAnsi="Arial"/>
                <w:sz w:val="16"/>
                <w:szCs w:val="16"/>
                <w:color w:val="auto"/>
              </w:rPr>
              <w:t>Non-Current: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Deferred tax assets: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0" w:type="dxa"/>
            <w:vAlign w:val="bottom"/>
            <w:gridSpan w:val="5"/>
          </w:tcPr>
          <w:p>
            <w:pPr>
              <w:ind w:left="240"/>
              <w:spacing w:after="0"/>
              <w:rPr>
                <w:sz w:val="20"/>
                <w:szCs w:val="20"/>
                <w:color w:val="auto"/>
              </w:rPr>
            </w:pPr>
            <w:r>
              <w:rPr>
                <w:rFonts w:ascii="Arial" w:cs="Arial" w:eastAsia="Arial" w:hAnsi="Arial"/>
                <w:sz w:val="16"/>
                <w:szCs w:val="16"/>
                <w:color w:val="auto"/>
              </w:rPr>
              <w:t>Capital lease obligations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32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4,079</w:t>
            </w:r>
          </w:p>
        </w:tc>
        <w:tc>
          <w:tcPr>
            <w:tcW w:w="780" w:type="dxa"/>
            <w:vAlign w:val="bottom"/>
            <w:gridSpan w:val="2"/>
          </w:tcPr>
          <w:p>
            <w:pPr>
              <w:jc w:val="right"/>
              <w:ind w:right="423"/>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4,849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Stock options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0" w:type="dxa"/>
            <w:vAlign w:val="bottom"/>
            <w:tcBorders>
              <w:bottom w:val="single" w:sz="8" w:color="CCEEFF"/>
            </w:tcBorders>
            <w:gridSpan w:val="5"/>
          </w:tcPr>
          <w:p>
            <w:pPr>
              <w:ind w:left="24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474</w:t>
            </w:r>
          </w:p>
        </w:tc>
        <w:tc>
          <w:tcPr>
            <w:tcW w:w="2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6,932</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7,082</w:t>
            </w:r>
          </w:p>
        </w:tc>
        <w:tc>
          <w:tcPr>
            <w:tcW w:w="10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0" w:type="dxa"/>
            <w:vAlign w:val="bottom"/>
            <w:gridSpan w:val="5"/>
          </w:tcPr>
          <w:p>
            <w:pPr>
              <w:ind w:left="80"/>
              <w:spacing w:after="0"/>
              <w:rPr>
                <w:sz w:val="20"/>
                <w:szCs w:val="20"/>
                <w:color w:val="auto"/>
              </w:rPr>
            </w:pPr>
            <w:r>
              <w:rPr>
                <w:rFonts w:ascii="Arial" w:cs="Arial" w:eastAsia="Arial" w:hAnsi="Arial"/>
                <w:sz w:val="16"/>
                <w:szCs w:val="16"/>
                <w:color w:val="auto"/>
              </w:rPr>
              <w:t>Deferred tax liabilities: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Difference between book and tax basis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62"/>
              <w:spacing w:after="0"/>
              <w:rPr>
                <w:sz w:val="20"/>
                <w:szCs w:val="20"/>
                <w:color w:val="auto"/>
              </w:rPr>
            </w:pPr>
            <w:r>
              <w:rPr>
                <w:rFonts w:ascii="Arial" w:cs="Arial" w:eastAsia="Arial" w:hAnsi="Arial"/>
                <w:sz w:val="16"/>
                <w:szCs w:val="16"/>
                <w:color w:val="auto"/>
                <w:w w:val="87"/>
              </w:rPr>
              <w:t>(59,828 )</w:t>
            </w:r>
          </w:p>
        </w:tc>
        <w:tc>
          <w:tcPr>
            <w:tcW w:w="5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3"/>
              </w:rPr>
              <w:t>(47,986 )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60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Net non-current tax liability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ind w:right="423"/>
              <w:spacing w:after="0"/>
              <w:rPr>
                <w:sz w:val="20"/>
                <w:szCs w:val="20"/>
                <w:color w:val="auto"/>
              </w:rPr>
            </w:pPr>
            <w:r>
              <w:rPr>
                <w:rFonts w:ascii="Arial" w:cs="Arial" w:eastAsia="Arial" w:hAnsi="Arial"/>
                <w:sz w:val="16"/>
                <w:szCs w:val="16"/>
                <w:color w:val="auto"/>
                <w:w w:val="95"/>
              </w:rPr>
              <w:t>(52,896 )  $</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3"/>
              </w:rPr>
              <w:t>(40,904 )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80" w:type="dxa"/>
            <w:vAlign w:val="bottom"/>
            <w:gridSpan w:val="7"/>
            <w:vMerge w:val="restart"/>
          </w:tcPr>
          <w:p>
            <w:pPr>
              <w:spacing w:after="0"/>
              <w:rPr>
                <w:sz w:val="20"/>
                <w:szCs w:val="20"/>
                <w:color w:val="auto"/>
              </w:rPr>
            </w:pPr>
            <w:r>
              <w:rPr>
                <w:rFonts w:ascii="Arial" w:cs="Arial" w:eastAsia="Arial" w:hAnsi="Arial"/>
                <w:sz w:val="16"/>
                <w:szCs w:val="16"/>
                <w:color w:val="auto"/>
                <w:w w:val="94"/>
              </w:rPr>
              <w:t>The Company’s various state net operating loss carry forwards expire from 2011 through 2021.</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38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-3357880</wp:posOffset>
            </wp:positionV>
            <wp:extent cx="12700" cy="28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-3357880</wp:posOffset>
            </wp:positionV>
            <wp:extent cx="12700"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taxes based on the federal statutory rates and the provisions for income taxes are summarized as follows (in thousands):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7"/>
        </w:trPr>
        <w:tc>
          <w:tcPr>
            <w:tcW w:w="59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2"/>
              <w:spacing w:after="0" w:line="12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1"/>
              <w:spacing w:after="0" w:line="12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1"/>
              <w:spacing w:after="0" w:line="128" w:lineRule="exact"/>
              <w:rPr>
                <w:sz w:val="20"/>
                <w:szCs w:val="20"/>
                <w:color w:val="auto"/>
              </w:rPr>
            </w:pPr>
            <w:r>
              <w:rPr>
                <w:rFonts w:ascii="Arial" w:cs="Arial" w:eastAsia="Arial" w:hAnsi="Arial"/>
                <w:sz w:val="13"/>
                <w:szCs w:val="13"/>
                <w:b w:val="1"/>
                <w:bCs w:val="1"/>
                <w:color w:val="auto"/>
              </w:rPr>
              <w:t>2006</w:t>
            </w:r>
          </w:p>
        </w:tc>
        <w:tc>
          <w:tcPr>
            <w:tcW w:w="160" w:type="dxa"/>
            <w:vAlign w:val="bottom"/>
            <w:tcBorders>
              <w:bottom w:val="single" w:sz="8" w:color="CCEEFF"/>
            </w:tcBorders>
          </w:tcPr>
          <w:p>
            <w:pPr>
              <w:spacing w:after="0"/>
              <w:rPr>
                <w:sz w:val="11"/>
                <w:szCs w:val="11"/>
                <w:color w:val="auto"/>
              </w:rPr>
            </w:pPr>
          </w:p>
        </w:tc>
      </w:tr>
      <w:tr>
        <w:trPr>
          <w:trHeight w:val="18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Income taxes at the federal statutory rate</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15,781</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32,920</w:t>
            </w:r>
          </w:p>
        </w:tc>
        <w:tc>
          <w:tcPr>
            <w:tcW w:w="160" w:type="dxa"/>
            <w:vAlign w:val="bottom"/>
            <w:shd w:val="clear" w:color="auto" w:fill="CCEEFF"/>
          </w:tcPr>
          <w:p>
            <w:pPr>
              <w:spacing w:after="0"/>
              <w:rPr>
                <w:sz w:val="16"/>
                <w:szCs w:val="16"/>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1,995</w:t>
            </w:r>
          </w:p>
        </w:tc>
        <w:tc>
          <w:tcPr>
            <w:tcW w:w="160" w:type="dxa"/>
            <w:vAlign w:val="bottom"/>
          </w:tcPr>
          <w:p>
            <w:pPr>
              <w:spacing w:after="0"/>
              <w:rPr>
                <w:sz w:val="17"/>
                <w:szCs w:val="17"/>
                <w:color w:val="auto"/>
              </w:rPr>
            </w:pP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permanent differences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(684 )</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(143 )</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7"/>
                <w:szCs w:val="17"/>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6"/>
                <w:szCs w:val="16"/>
                <w:color w:val="auto"/>
              </w:rPr>
              <w:t>State tax valuation allowance</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(73 )</w:t>
            </w: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(111 )</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60" w:type="dxa"/>
            <w:vAlign w:val="bottom"/>
            <w:shd w:val="clear" w:color="auto" w:fill="CCEEFF"/>
          </w:tcPr>
          <w:p>
            <w:pPr>
              <w:spacing w:after="0"/>
              <w:rPr>
                <w:sz w:val="17"/>
                <w:szCs w:val="17"/>
                <w:color w:val="auto"/>
              </w:rPr>
            </w:pPr>
          </w:p>
        </w:tc>
      </w:tr>
      <w:tr>
        <w:trPr>
          <w:trHeight w:val="189"/>
        </w:trPr>
        <w:tc>
          <w:tcPr>
            <w:tcW w:w="59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16,222</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35,272</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Company included accruals for unrecognized income tax benefits totaling $1.9 million as a component of accrued liabilities as of December 31, 2008 and $2.0 million as of December 31, 2007. The unrecognized tax benefits of $1.9 million at December 31, 2008, if recognized, would impact the Company’s effective tax rate. As of December 31, 2008, the Company accrued interest of $185,000 related to unrecognized tax benefits in the current provision for income taxes. No amounts were accrued for penalties.</w:t>
      </w:r>
    </w:p>
    <w:p>
      <w:pPr>
        <w:sectPr>
          <w:pgSz w:w="11900" w:h="16838" w:orient="portrait"/>
          <w:cols w:equalWidth="0" w:num="1">
            <w:col w:w="11460"/>
          </w:cols>
          <w:pgMar w:left="240" w:top="336" w:right="199" w:bottom="0" w:gutter="0" w:footer="0" w:header="0"/>
        </w:sectPr>
      </w:pPr>
    </w:p>
    <w:bookmarkStart w:id="38" w:name="page39"/>
    <w:bookmarkEnd w:id="38"/>
    <w:p>
      <w:pPr>
        <w:jc w:val="both"/>
        <w:ind w:left="2" w:right="360"/>
        <w:spacing w:after="0" w:line="271" w:lineRule="auto"/>
        <w:rPr>
          <w:sz w:val="20"/>
          <w:szCs w:val="20"/>
          <w:color w:val="auto"/>
        </w:rPr>
      </w:pPr>
      <w:r>
        <w:rPr>
          <w:rFonts w:ascii="Arial" w:cs="Arial" w:eastAsia="Arial" w:hAnsi="Arial"/>
          <w:sz w:val="16"/>
          <w:szCs w:val="16"/>
          <w:color w:val="auto"/>
        </w:rPr>
        <w:t>The Company does not anticipate a significant change in the amount of unrecognized tax benefits in the next 12 months. As of December 31, 2008, the tax years ended December 31, 2005, through 2008 remained subject to examination by tax authorities. The U.S. Internal Revenue Service is currently examining the Company’s federal income tax return for the tax year 2005.</w:t>
      </w:r>
    </w:p>
    <w:p>
      <w:pPr>
        <w:spacing w:after="0" w:line="16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382"/>
          </w:cols>
          <w:pgMar w:left="238" w:top="127" w:right="279" w:bottom="0" w:gutter="0" w:footer="0" w:header="0"/>
        </w:sectPr>
      </w:pPr>
    </w:p>
    <w:p>
      <w:pPr>
        <w:spacing w:after="0" w:line="200" w:lineRule="exact"/>
        <w:rPr>
          <w:sz w:val="20"/>
          <w:szCs w:val="20"/>
          <w:color w:val="auto"/>
        </w:rPr>
      </w:pPr>
    </w:p>
    <w:p>
      <w:pPr>
        <w:spacing w:after="0" w:line="26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spacing w:after="0"/>
        <w:rPr>
          <w:sz w:val="20"/>
          <w:szCs w:val="20"/>
          <w:color w:val="auto"/>
        </w:rPr>
      </w:pPr>
      <w:r>
        <w:rPr>
          <w:rFonts w:ascii="Arial" w:cs="Arial" w:eastAsia="Arial" w:hAnsi="Arial"/>
          <w:sz w:val="14"/>
          <w:szCs w:val="14"/>
          <w:color w:val="auto"/>
        </w:rPr>
        <w:t>A reconciliation of the change in the unrecognized tax benefits from January 1, 2007, to December 31, 2008, is as follows:</w:t>
      </w:r>
    </w:p>
    <w:p>
      <w:pPr>
        <w:spacing w:after="0" w:line="200" w:lineRule="exact"/>
        <w:rPr>
          <w:sz w:val="20"/>
          <w:szCs w:val="20"/>
          <w:color w:val="auto"/>
        </w:rPr>
      </w:pPr>
    </w:p>
    <w:p>
      <w:pPr>
        <w:spacing w:after="0" w:line="228" w:lineRule="exact"/>
        <w:rPr>
          <w:sz w:val="20"/>
          <w:szCs w:val="20"/>
          <w:color w:val="auto"/>
        </w:rPr>
      </w:pPr>
    </w:p>
    <w:p>
      <w:pPr>
        <w:ind w:left="1442"/>
        <w:spacing w:after="0"/>
        <w:rPr>
          <w:sz w:val="20"/>
          <w:szCs w:val="20"/>
          <w:color w:val="auto"/>
        </w:rPr>
      </w:pPr>
      <w:r>
        <w:rPr>
          <w:rFonts w:ascii="Arial" w:cs="Arial" w:eastAsia="Arial" w:hAnsi="Arial"/>
          <w:sz w:val="16"/>
          <w:szCs w:val="16"/>
          <w:color w:val="auto"/>
        </w:rPr>
        <w:t>Unrecognized tax benefits at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-107950</wp:posOffset>
            </wp:positionV>
            <wp:extent cx="5444490" cy="124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44490" cy="124460"/>
                    </a:xfrm>
                    <a:prstGeom prst="rect">
                      <a:avLst/>
                    </a:prstGeom>
                    <a:noFill/>
                  </pic:spPr>
                </pic:pic>
              </a:graphicData>
            </a:graphic>
          </wp:anchor>
        </w:drawing>
      </w:r>
    </w:p>
    <w:p>
      <w:pPr>
        <w:spacing w:after="0" w:line="4" w:lineRule="exact"/>
        <w:rPr>
          <w:sz w:val="20"/>
          <w:szCs w:val="20"/>
          <w:color w:val="auto"/>
        </w:rPr>
      </w:pPr>
    </w:p>
    <w:p>
      <w:pPr>
        <w:ind w:left="1442"/>
        <w:spacing w:after="0"/>
        <w:rPr>
          <w:sz w:val="20"/>
          <w:szCs w:val="20"/>
          <w:color w:val="auto"/>
        </w:rPr>
      </w:pPr>
      <w:r>
        <w:rPr>
          <w:rFonts w:ascii="Arial" w:cs="Arial" w:eastAsia="Arial" w:hAnsi="Arial"/>
          <w:sz w:val="16"/>
          <w:szCs w:val="16"/>
          <w:color w:val="auto"/>
        </w:rPr>
        <w:t>Gross increases – tax positions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8255</wp:posOffset>
            </wp:positionV>
            <wp:extent cx="5444490" cy="132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44490" cy="132715"/>
                    </a:xfrm>
                    <a:prstGeom prst="rect">
                      <a:avLst/>
                    </a:prstGeom>
                    <a:noFill/>
                  </pic:spPr>
                </pic:pic>
              </a:graphicData>
            </a:graphic>
          </wp:anchor>
        </w:drawing>
      </w:r>
    </w:p>
    <w:p>
      <w:pPr>
        <w:spacing w:after="0" w:line="189" w:lineRule="exact"/>
        <w:rPr>
          <w:sz w:val="20"/>
          <w:szCs w:val="20"/>
          <w:color w:val="auto"/>
        </w:rPr>
      </w:pPr>
    </w:p>
    <w:p>
      <w:pPr>
        <w:ind w:left="1442"/>
        <w:spacing w:after="0"/>
        <w:rPr>
          <w:sz w:val="20"/>
          <w:szCs w:val="20"/>
          <w:color w:val="auto"/>
        </w:rPr>
      </w:pPr>
      <w:r>
        <w:rPr>
          <w:rFonts w:ascii="Arial" w:cs="Arial" w:eastAsia="Arial" w:hAnsi="Arial"/>
          <w:sz w:val="16"/>
          <w:szCs w:val="16"/>
          <w:color w:val="auto"/>
        </w:rPr>
        <w:t>Unrecognized tax benefits at December 31, 2007</w:t>
      </w:r>
    </w:p>
    <w:p>
      <w:pPr>
        <w:spacing w:after="0" w:line="24" w:lineRule="exact"/>
        <w:rPr>
          <w:sz w:val="20"/>
          <w:szCs w:val="20"/>
          <w:color w:val="auto"/>
        </w:rPr>
      </w:pPr>
    </w:p>
    <w:p>
      <w:pPr>
        <w:ind w:left="1442"/>
        <w:spacing w:after="0"/>
        <w:rPr>
          <w:sz w:val="20"/>
          <w:szCs w:val="20"/>
          <w:color w:val="auto"/>
        </w:rPr>
      </w:pPr>
      <w:r>
        <w:rPr>
          <w:rFonts w:ascii="Arial" w:cs="Arial" w:eastAsia="Arial" w:hAnsi="Arial"/>
          <w:sz w:val="16"/>
          <w:szCs w:val="16"/>
          <w:color w:val="auto"/>
        </w:rPr>
        <w:t>Gross increases – tax positions in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-115570</wp:posOffset>
            </wp:positionV>
            <wp:extent cx="5444490" cy="124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44490" cy="124460"/>
                    </a:xfrm>
                    <a:prstGeom prst="rect">
                      <a:avLst/>
                    </a:prstGeom>
                    <a:noFill/>
                  </pic:spPr>
                </pic:pic>
              </a:graphicData>
            </a:graphic>
          </wp:anchor>
        </w:drawing>
      </w:r>
    </w:p>
    <w:p>
      <w:pPr>
        <w:ind w:left="1442"/>
        <w:spacing w:after="0"/>
        <w:rPr>
          <w:sz w:val="20"/>
          <w:szCs w:val="20"/>
          <w:color w:val="auto"/>
        </w:rPr>
      </w:pPr>
      <w:r>
        <w:rPr>
          <w:rFonts w:ascii="Arial" w:cs="Arial" w:eastAsia="Arial" w:hAnsi="Arial"/>
          <w:sz w:val="16"/>
          <w:szCs w:val="16"/>
          <w:color w:val="auto"/>
        </w:rPr>
        <w:t>Reductions due to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8255</wp:posOffset>
            </wp:positionV>
            <wp:extent cx="5444490" cy="13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44490" cy="132715"/>
                    </a:xfrm>
                    <a:prstGeom prst="rect">
                      <a:avLst/>
                    </a:prstGeom>
                    <a:noFill/>
                  </pic:spPr>
                </pic:pic>
              </a:graphicData>
            </a:graphic>
          </wp:anchor>
        </w:drawing>
      </w:r>
    </w:p>
    <w:p>
      <w:pPr>
        <w:spacing w:after="0" w:line="202" w:lineRule="exact"/>
        <w:rPr>
          <w:sz w:val="20"/>
          <w:szCs w:val="20"/>
          <w:color w:val="auto"/>
        </w:rPr>
      </w:pPr>
    </w:p>
    <w:p>
      <w:pPr>
        <w:ind w:left="1442"/>
        <w:spacing w:after="0"/>
        <w:rPr>
          <w:sz w:val="20"/>
          <w:szCs w:val="20"/>
          <w:color w:val="auto"/>
        </w:rPr>
      </w:pPr>
      <w:r>
        <w:rPr>
          <w:rFonts w:ascii="Arial" w:cs="Arial" w:eastAsia="Arial" w:hAnsi="Arial"/>
          <w:sz w:val="16"/>
          <w:szCs w:val="16"/>
          <w:color w:val="auto"/>
        </w:rPr>
        <w:t>Unrecognized tax benefits at December 31, 2008</w:t>
      </w:r>
    </w:p>
    <w:p>
      <w:pPr>
        <w:spacing w:after="0" w:line="233" w:lineRule="exact"/>
        <w:rPr>
          <w:sz w:val="20"/>
          <w:szCs w:val="20"/>
          <w:color w:val="auto"/>
        </w:rPr>
      </w:pPr>
    </w:p>
    <w:p>
      <w:pPr>
        <w:ind w:left="382" w:hanging="382"/>
        <w:spacing w:after="0"/>
        <w:tabs>
          <w:tab w:leader="none" w:pos="38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1,430,204</w:t>
      </w:r>
    </w:p>
    <w:p>
      <w:pPr>
        <w:spacing w:after="0" w:line="2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535,224</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1,965,428</w:t>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426,590</w:t>
      </w:r>
    </w:p>
    <w:p>
      <w:pPr>
        <w:spacing w:after="0" w:line="12"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(453,334 )</w:t>
      </w:r>
    </w:p>
    <w:p>
      <w:pPr>
        <w:spacing w:after="0" w:line="209"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1,938,684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83312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312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31115</wp:posOffset>
            </wp:positionV>
            <wp:extent cx="8331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33120" cy="7620"/>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8022" w:space="500"/>
            <w:col w:w="2860"/>
          </w:cols>
          <w:pgMar w:left="238" w:top="127" w:right="279" w:bottom="0" w:gutter="0" w:footer="0" w:header="0"/>
          <w:type w:val="continuous"/>
        </w:sectPr>
      </w:pPr>
    </w:p>
    <w:p>
      <w:pPr>
        <w:spacing w:after="0" w:line="9" w:lineRule="exact"/>
        <w:rPr>
          <w:sz w:val="20"/>
          <w:szCs w:val="20"/>
          <w:color w:val="auto"/>
        </w:rPr>
      </w:pPr>
    </w:p>
    <w:p>
      <w:pPr>
        <w:ind w:left="2" w:right="180"/>
        <w:spacing w:after="0" w:line="289" w:lineRule="auto"/>
        <w:rPr>
          <w:sz w:val="20"/>
          <w:szCs w:val="20"/>
          <w:color w:val="auto"/>
        </w:rPr>
      </w:pPr>
      <w:r>
        <w:rPr>
          <w:rFonts w:ascii="Arial" w:cs="Arial" w:eastAsia="Arial" w:hAnsi="Arial"/>
          <w:sz w:val="15"/>
          <w:szCs w:val="15"/>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50" w:lineRule="exact"/>
        <w:rPr>
          <w:sz w:val="20"/>
          <w:szCs w:val="20"/>
          <w:color w:val="auto"/>
        </w:rPr>
      </w:pPr>
    </w:p>
    <w:p>
      <w:pPr>
        <w:ind w:left="2" w:right="20"/>
        <w:spacing w:after="0" w:line="266"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66" w:lineRule="exact"/>
        <w:rPr>
          <w:sz w:val="20"/>
          <w:szCs w:val="20"/>
          <w:color w:val="auto"/>
        </w:rPr>
      </w:pPr>
    </w:p>
    <w:p>
      <w:pPr>
        <w:jc w:val="both"/>
        <w:ind w:left="2"/>
        <w:spacing w:after="0" w:line="297" w:lineRule="auto"/>
        <w:rPr>
          <w:sz w:val="20"/>
          <w:szCs w:val="20"/>
          <w:color w:val="auto"/>
        </w:rPr>
      </w:pPr>
      <w:r>
        <w:rPr>
          <w:rFonts w:ascii="Arial" w:cs="Arial" w:eastAsia="Arial" w:hAnsi="Arial"/>
          <w:sz w:val="15"/>
          <w:szCs w:val="15"/>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 the amount of finance income it will recognize at the time the contract is sold and to decrease the amount of early repayment penalties it will owe its retail funding sources in the future.</w:t>
      </w:r>
    </w:p>
    <w:p>
      <w:pPr>
        <w:spacing w:after="0" w:line="145" w:lineRule="exact"/>
        <w:rPr>
          <w:sz w:val="20"/>
          <w:szCs w:val="20"/>
          <w:color w:val="auto"/>
        </w:rPr>
      </w:pPr>
    </w:p>
    <w:p>
      <w:pPr>
        <w:ind w:left="2" w:right="100"/>
        <w:spacing w:after="0" w:line="322" w:lineRule="auto"/>
        <w:rPr>
          <w:sz w:val="20"/>
          <w:szCs w:val="20"/>
          <w:color w:val="auto"/>
        </w:rPr>
      </w:pPr>
      <w:r>
        <w:rPr>
          <w:rFonts w:ascii="Arial" w:cs="Arial" w:eastAsia="Arial" w:hAnsi="Arial"/>
          <w:sz w:val="15"/>
          <w:szCs w:val="15"/>
          <w:color w:val="auto"/>
        </w:rPr>
        <w:t>In 2006, the Company signed an agreement with Titan Technology Partners to implement SAP enterprise software and a new SAP dealership management system. The cost of the SAP software and implementation is estimated at $30.0 million to $32.0 million, of which $20.9 million was expended at December 31, 2008.</w:t>
      </w:r>
    </w:p>
    <w:p>
      <w:pPr>
        <w:spacing w:after="0" w:line="126" w:lineRule="exact"/>
        <w:rPr>
          <w:sz w:val="20"/>
          <w:szCs w:val="20"/>
          <w:color w:val="auto"/>
        </w:rPr>
      </w:pPr>
    </w:p>
    <w:p>
      <w:pPr>
        <w:ind w:left="382" w:hanging="382"/>
        <w:spacing w:after="0"/>
        <w:tabs>
          <w:tab w:leader="none" w:pos="38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following acquisitions, unless otherwise noted, were considered business combinations accounted for under SFAS 141.</w:t>
      </w:r>
    </w:p>
    <w:p>
      <w:pPr>
        <w:spacing w:after="0" w:line="209" w:lineRule="exact"/>
        <w:rPr>
          <w:sz w:val="20"/>
          <w:szCs w:val="20"/>
          <w:color w:val="auto"/>
        </w:rPr>
      </w:pPr>
    </w:p>
    <w:p>
      <w:pPr>
        <w:ind w:left="2" w:right="140"/>
        <w:spacing w:after="0" w:line="362" w:lineRule="auto"/>
        <w:rPr>
          <w:sz w:val="20"/>
          <w:szCs w:val="20"/>
          <w:color w:val="auto"/>
        </w:rPr>
      </w:pPr>
      <w:r>
        <w:rPr>
          <w:rFonts w:ascii="Arial" w:cs="Arial" w:eastAsia="Arial" w:hAnsi="Arial"/>
          <w:sz w:val="14"/>
          <w:szCs w:val="14"/>
          <w:color w:val="auto"/>
        </w:rPr>
        <w:t>In June 2008, the Company acquired certain assets of Capital Bus Sales and Service of Texas, Inc., which included a Blue Bird bus franchise for the majority of Texas. The Company is selling buses at most Rush Truck Centers throughout Texas. The transaction was valued at approximately $5.6 million, with the purchase price paid in cash.</w:t>
      </w:r>
    </w:p>
    <w:p>
      <w:pPr>
        <w:spacing w:after="0" w:line="103" w:lineRule="exact"/>
        <w:rPr>
          <w:sz w:val="20"/>
          <w:szCs w:val="20"/>
          <w:color w:val="auto"/>
        </w:rPr>
      </w:pPr>
    </w:p>
    <w:p>
      <w:pPr>
        <w:ind w:left="2" w:right="280"/>
        <w:spacing w:after="0" w:line="266" w:lineRule="auto"/>
        <w:rPr>
          <w:sz w:val="20"/>
          <w:szCs w:val="20"/>
          <w:color w:val="auto"/>
        </w:rPr>
      </w:pPr>
      <w:r>
        <w:rPr>
          <w:rFonts w:ascii="Arial" w:cs="Arial" w:eastAsia="Arial" w:hAnsi="Arial"/>
          <w:sz w:val="16"/>
          <w:szCs w:val="16"/>
          <w:color w:val="auto"/>
        </w:rPr>
        <w:t>The Capital Bus Sales and Service of Texas, Inc. acquisition was accounted for as a purchase; operations of the business acquired are included in the accompanying consolidated financial statements from the date of the acquisition. Pro forma information is not included because Capital Bus Sales and Service of Texas, Inc.’s results of operations would not have a material effect on the Company’s financial statements. The purchase price was allocated based on the fair values of the assets at the date of acquisition as follows (in thousands):</w:t>
      </w:r>
    </w:p>
    <w:p>
      <w:pPr>
        <w:spacing w:after="0" w:line="166"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1" w:lineRule="exact"/>
        <w:rPr>
          <w:sz w:val="20"/>
          <w:szCs w:val="20"/>
          <w:color w:val="auto"/>
        </w:rPr>
      </w:pPr>
    </w:p>
    <w:tbl>
      <w:tblPr>
        <w:tblLayout w:type="fixed"/>
        <w:tblInd w:w="2862" w:type="dxa"/>
        <w:tblCellMar>
          <w:top w:w="0" w:type="dxa"/>
          <w:left w:w="0" w:type="dxa"/>
          <w:bottom w:w="0" w:type="dxa"/>
          <w:right w:w="0" w:type="dxa"/>
        </w:tblCellMar>
      </w:tblP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20" w:type="dxa"/>
            <w:vAlign w:val="bottom"/>
            <w:shd w:val="clear" w:color="auto" w:fill="CCEEFF"/>
          </w:tcPr>
          <w:p>
            <w:pPr>
              <w:spacing w:after="0"/>
              <w:rPr>
                <w:sz w:val="17"/>
                <w:szCs w:val="17"/>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Accrued expenses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(27 )</w:t>
            </w: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7"/>
                <w:szCs w:val="17"/>
                <w:color w:val="auto"/>
              </w:rPr>
            </w:pPr>
          </w:p>
        </w:tc>
      </w:tr>
      <w:tr>
        <w:trPr>
          <w:trHeight w:val="189"/>
        </w:trPr>
        <w:tc>
          <w:tcPr>
            <w:tcW w:w="4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Capital Bus Sales and Service of Texas, Inc. acquisition will be amortized over 15 years for tax purposes.</w:t>
      </w:r>
    </w:p>
    <w:p>
      <w:pPr>
        <w:spacing w:after="0" w:line="209" w:lineRule="exact"/>
        <w:rPr>
          <w:sz w:val="20"/>
          <w:szCs w:val="20"/>
          <w:color w:val="auto"/>
        </w:rPr>
      </w:pPr>
    </w:p>
    <w:p>
      <w:pPr>
        <w:ind w:left="2" w:right="160"/>
        <w:spacing w:after="0" w:line="297" w:lineRule="auto"/>
        <w:rPr>
          <w:sz w:val="20"/>
          <w:szCs w:val="20"/>
          <w:color w:val="auto"/>
        </w:rPr>
      </w:pPr>
      <w:r>
        <w:rPr>
          <w:rFonts w:ascii="Arial" w:cs="Arial" w:eastAsia="Arial" w:hAnsi="Arial"/>
          <w:sz w:val="15"/>
          <w:szCs w:val="15"/>
          <w:color w:val="auto"/>
        </w:rPr>
        <w:t>In May 2008, the Company acquired certain assets of Peterbilt Carolina, Inc. which consisted of a Peterbilt, Hino and Isuzu heavy- and medium-duty truck dealership in Charlotte, North Carolina. The Company is operating the facility as a full-service Rush Truck Center offering Peterbilt heavy- and medium-duty trucks as well as medium-duty trucks manufactured by Hino and Isuzu, and parts and service. The transaction was valued at approximately $13.4 million, with the purchase price paid in cash.</w:t>
      </w:r>
    </w:p>
    <w:p>
      <w:pPr>
        <w:spacing w:after="0" w:line="145" w:lineRule="exact"/>
        <w:rPr>
          <w:sz w:val="20"/>
          <w:szCs w:val="20"/>
          <w:color w:val="auto"/>
        </w:rPr>
      </w:pPr>
    </w:p>
    <w:p>
      <w:pPr>
        <w:jc w:val="both"/>
        <w:ind w:left="2" w:right="160"/>
        <w:spacing w:after="0" w:line="271" w:lineRule="auto"/>
        <w:rPr>
          <w:sz w:val="20"/>
          <w:szCs w:val="20"/>
          <w:color w:val="auto"/>
        </w:rPr>
      </w:pPr>
      <w:r>
        <w:rPr>
          <w:rFonts w:ascii="Arial" w:cs="Arial" w:eastAsia="Arial" w:hAnsi="Arial"/>
          <w:sz w:val="16"/>
          <w:szCs w:val="16"/>
          <w:color w:val="auto"/>
        </w:rPr>
        <w:t>The operations of Peterbilt Carolina, Inc. are included in the accompanying consolidated financial statements from the date of the acquisition. Pro forma information is not included because Peterbilt Carolina, Inc.’s results of operations would not have a material effect on the Company’s financial statements. The purchase price was allocated based on the fair values of the assets at the date of acquisition as follows (in thousands):</w:t>
      </w:r>
    </w:p>
    <w:p>
      <w:pPr>
        <w:spacing w:after="0" w:line="174" w:lineRule="exact"/>
        <w:rPr>
          <w:sz w:val="20"/>
          <w:szCs w:val="20"/>
          <w:color w:val="auto"/>
        </w:rPr>
      </w:pPr>
    </w:p>
    <w:tbl>
      <w:tblPr>
        <w:tblLayout w:type="fixed"/>
        <w:tblInd w:w="2862" w:type="dxa"/>
        <w:tblCellMar>
          <w:top w:w="0" w:type="dxa"/>
          <w:left w:w="0" w:type="dxa"/>
          <w:bottom w:w="0" w:type="dxa"/>
          <w:right w:w="0" w:type="dxa"/>
        </w:tblCellMar>
      </w:tblP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8,529</w:t>
            </w:r>
          </w:p>
        </w:tc>
        <w:tc>
          <w:tcPr>
            <w:tcW w:w="120" w:type="dxa"/>
            <w:vAlign w:val="bottom"/>
          </w:tcPr>
          <w:p>
            <w:pPr>
              <w:spacing w:after="0"/>
              <w:rPr>
                <w:sz w:val="17"/>
                <w:szCs w:val="17"/>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(626 )</w:t>
            </w: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5,383</w:t>
            </w:r>
          </w:p>
        </w:tc>
        <w:tc>
          <w:tcPr>
            <w:tcW w:w="120" w:type="dxa"/>
            <w:vAlign w:val="bottom"/>
            <w:shd w:val="clear" w:color="auto" w:fill="CCEEFF"/>
          </w:tcPr>
          <w:p>
            <w:pPr>
              <w:spacing w:after="0"/>
              <w:rPr>
                <w:sz w:val="17"/>
                <w:szCs w:val="17"/>
                <w:color w:val="auto"/>
              </w:rPr>
            </w:pPr>
          </w:p>
        </w:tc>
      </w:tr>
      <w:tr>
        <w:trPr>
          <w:trHeight w:val="189"/>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Peterbilt Carolina, Inc. acquisition will be amortized over 15 years for tax purposes.</w:t>
      </w:r>
    </w:p>
    <w:p>
      <w:pPr>
        <w:sectPr>
          <w:pgSz w:w="11900" w:h="16838" w:orient="portrait"/>
          <w:cols w:equalWidth="0" w:num="1">
            <w:col w:w="11382"/>
          </w:cols>
          <w:pgMar w:left="238" w:top="127" w:right="279" w:bottom="0" w:gutter="0" w:footer="0" w:header="0"/>
          <w:type w:val="continuous"/>
        </w:sectPr>
      </w:pPr>
    </w:p>
    <w:bookmarkStart w:id="39" w:name="page40"/>
    <w:bookmarkEnd w:id="39"/>
    <w:p>
      <w:pPr>
        <w:spacing w:after="0" w:line="36" w:lineRule="exact"/>
        <w:rPr>
          <w:sz w:val="20"/>
          <w:szCs w:val="20"/>
          <w:color w:val="auto"/>
        </w:rPr>
      </w:pPr>
    </w:p>
    <w:p>
      <w:pPr>
        <w:ind w:left="2" w:right="60"/>
        <w:spacing w:after="0" w:line="271" w:lineRule="auto"/>
        <w:rPr>
          <w:sz w:val="20"/>
          <w:szCs w:val="20"/>
          <w:color w:val="auto"/>
        </w:rPr>
      </w:pPr>
      <w:r>
        <w:rPr>
          <w:rFonts w:ascii="Arial" w:cs="Arial" w:eastAsia="Arial" w:hAnsi="Arial"/>
          <w:sz w:val="16"/>
          <w:szCs w:val="16"/>
          <w:color w:val="auto"/>
        </w:rPr>
        <w:t>In May 2008, the Company executed agreements to acquire the common stock of Adams International Trucks, Inc., an International heavy- and medium-duty truck dealership in Charlotte, North Carolina. The Company is operating the facility as a full-service Rush Truck Center offering International heavy- and medium-duty trucks, parts and service and leasing. The transaction was valued at approximately $20.1 million, with the purchase price paid in cash.</w:t>
      </w:r>
    </w:p>
    <w:p>
      <w:pPr>
        <w:spacing w:after="0" w:line="162" w:lineRule="exact"/>
        <w:rPr>
          <w:sz w:val="20"/>
          <w:szCs w:val="20"/>
          <w:color w:val="auto"/>
        </w:rPr>
      </w:pPr>
    </w:p>
    <w:p>
      <w:pPr>
        <w:ind w:left="2" w:right="360"/>
        <w:spacing w:after="0" w:line="271" w:lineRule="auto"/>
        <w:rPr>
          <w:sz w:val="20"/>
          <w:szCs w:val="20"/>
          <w:color w:val="auto"/>
        </w:rPr>
      </w:pPr>
      <w:r>
        <w:rPr>
          <w:rFonts w:ascii="Arial" w:cs="Arial" w:eastAsia="Arial" w:hAnsi="Arial"/>
          <w:sz w:val="16"/>
          <w:szCs w:val="16"/>
          <w:color w:val="auto"/>
        </w:rPr>
        <w:t>The operations of Adams International Trucks, Inc. are included in the accompanying consolidated financial statements from the date of the acquisition. Pro forma information is not included because Adams International Trucks, Inc.’s results of operations would not have a material effect on the Company’s financial statements. The purchase price was allocated based on the fair values of the assets at the date of acquisition as follows (in thousands):</w:t>
      </w:r>
    </w:p>
    <w:p>
      <w:pPr>
        <w:spacing w:after="0" w:line="17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2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20" w:type="dxa"/>
            <w:vAlign w:val="bottom"/>
            <w:shd w:val="clear" w:color="auto" w:fill="CCEEFF"/>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Prepaid expenses</w:t>
            </w: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Inventories</w:t>
            </w: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6,313</w:t>
            </w: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2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120" w:type="dxa"/>
            <w:vAlign w:val="bottom"/>
            <w:shd w:val="clear" w:color="auto" w:fill="CCEEFF"/>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Other assets</w:t>
            </w: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2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(2,587 )</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Floor plan notes payable</w:t>
            </w: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(3,185 )</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Notes payable</w:t>
            </w:r>
          </w:p>
        </w:tc>
        <w:tc>
          <w:tcPr>
            <w:tcW w:w="2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(2,379 )</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Goodwill</w:t>
            </w:r>
          </w:p>
        </w:tc>
        <w:tc>
          <w:tcPr>
            <w:tcW w:w="2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120" w:type="dxa"/>
            <w:vAlign w:val="bottom"/>
            <w:tcBorders>
              <w:bottom w:val="single" w:sz="8" w:color="CCEEFF"/>
            </w:tcBorders>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0" w:type="dxa"/>
            <w:vAlign w:val="bottom"/>
          </w:tcPr>
          <w:p>
            <w:pPr>
              <w:ind w:left="180"/>
              <w:spacing w:after="0"/>
              <w:rPr>
                <w:sz w:val="20"/>
                <w:szCs w:val="20"/>
                <w:color w:val="auto"/>
              </w:rPr>
            </w:pPr>
            <w:r>
              <w:rPr>
                <w:rFonts w:ascii="Arial" w:cs="Arial" w:eastAsia="Arial" w:hAnsi="Arial"/>
                <w:sz w:val="16"/>
                <w:szCs w:val="16"/>
                <w:color w:val="auto"/>
              </w:rPr>
              <w:t>Total</w:t>
            </w:r>
          </w:p>
        </w:tc>
        <w:tc>
          <w:tcPr>
            <w:tcW w:w="2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20,102</w:t>
            </w: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60" w:type="dxa"/>
            <w:vAlign w:val="bottom"/>
            <w:vMerge w:val="restart"/>
          </w:tcPr>
          <w:p>
            <w:pPr>
              <w:jc w:val="right"/>
              <w:ind w:right="1438"/>
              <w:spacing w:after="0"/>
              <w:rPr>
                <w:sz w:val="20"/>
                <w:szCs w:val="20"/>
                <w:color w:val="auto"/>
              </w:rPr>
            </w:pPr>
            <w:r>
              <w:rPr>
                <w:rFonts w:ascii="Arial" w:cs="Arial" w:eastAsia="Arial" w:hAnsi="Arial"/>
                <w:sz w:val="16"/>
                <w:szCs w:val="16"/>
                <w:color w:val="auto"/>
              </w:rPr>
              <w:t>65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60" w:type="dxa"/>
            <w:vAlign w:val="bottom"/>
            <w:tcBorders>
              <w:bottom w:val="single" w:sz="8" w:color="010101"/>
            </w:tcBorders>
          </w:tcPr>
          <w:p>
            <w:pPr>
              <w:spacing w:after="0"/>
              <w:rPr>
                <w:sz w:val="10"/>
                <w:szCs w:val="10"/>
                <w:color w:val="auto"/>
              </w:rPr>
            </w:pPr>
          </w:p>
        </w:tc>
        <w:tc>
          <w:tcPr>
            <w:tcW w:w="2200" w:type="dxa"/>
            <w:vAlign w:val="bottom"/>
            <w:tcBorders>
              <w:bottom w:val="single" w:sz="8" w:color="010101"/>
            </w:tcBorders>
          </w:tcPr>
          <w:p>
            <w:pPr>
              <w:spacing w:after="0"/>
              <w:rPr>
                <w:sz w:val="10"/>
                <w:szCs w:val="10"/>
                <w:color w:val="auto"/>
              </w:rPr>
            </w:pPr>
          </w:p>
        </w:tc>
        <w:tc>
          <w:tcPr>
            <w:tcW w:w="226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760" w:type="dxa"/>
            <w:vAlign w:val="bottom"/>
            <w:tcBorders>
              <w:bottom w:val="single" w:sz="8" w:color="010101"/>
            </w:tcBorders>
          </w:tcPr>
          <w:p>
            <w:pPr>
              <w:spacing w:after="0"/>
              <w:rPr>
                <w:sz w:val="10"/>
                <w:szCs w:val="10"/>
                <w:color w:val="auto"/>
              </w:rPr>
            </w:pPr>
          </w:p>
        </w:tc>
        <w:tc>
          <w:tcPr>
            <w:tcW w:w="120" w:type="dxa"/>
            <w:vAlign w:val="bottom"/>
            <w:tcBorders>
              <w:bottom w:val="single" w:sz="8" w:color="010101"/>
            </w:tcBorders>
          </w:tcPr>
          <w:p>
            <w:pPr>
              <w:spacing w:after="0"/>
              <w:rPr>
                <w:sz w:val="10"/>
                <w:szCs w:val="10"/>
                <w:color w:val="auto"/>
              </w:rPr>
            </w:pPr>
          </w:p>
        </w:tc>
        <w:tc>
          <w:tcPr>
            <w:tcW w:w="288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3"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jc w:val="both"/>
        <w:ind w:left="2" w:right="200"/>
        <w:spacing w:after="0" w:line="286" w:lineRule="auto"/>
        <w:rPr>
          <w:sz w:val="20"/>
          <w:szCs w:val="20"/>
          <w:color w:val="auto"/>
        </w:rPr>
      </w:pPr>
      <w:r>
        <w:rPr>
          <w:rFonts w:ascii="Arial" w:cs="Arial" w:eastAsia="Arial" w:hAnsi="Arial"/>
          <w:sz w:val="16"/>
          <w:szCs w:val="16"/>
          <w:color w:val="auto"/>
        </w:rPr>
        <w:t>The portion of goodwill related to the stock purchase of Adams International Trucks, Inc. will not be amortized for tax purposes, while the portion of goodwill related to the acquisition of the International franchise rights will be amortized over 15 years for tax purposes.</w:t>
      </w:r>
    </w:p>
    <w:p>
      <w:pPr>
        <w:spacing w:after="0" w:line="150" w:lineRule="exact"/>
        <w:rPr>
          <w:sz w:val="20"/>
          <w:szCs w:val="20"/>
          <w:color w:val="auto"/>
        </w:rPr>
      </w:pPr>
    </w:p>
    <w:p>
      <w:pPr>
        <w:ind w:left="2" w:right="320"/>
        <w:spacing w:after="0" w:line="286" w:lineRule="auto"/>
        <w:rPr>
          <w:sz w:val="20"/>
          <w:szCs w:val="20"/>
          <w:color w:val="auto"/>
        </w:rPr>
      </w:pPr>
      <w:r>
        <w:rPr>
          <w:rFonts w:ascii="Arial" w:cs="Arial" w:eastAsia="Arial" w:hAnsi="Arial"/>
          <w:sz w:val="16"/>
          <w:szCs w:val="16"/>
          <w:color w:val="auto"/>
        </w:rPr>
        <w:t>In addition to the stock and asset purchases described above, the Company purchased the real estate of the North Carolina dealership operations for $6.2 million. The real estate transaction was financed by a bank with a $5.0 million note payable.</w:t>
      </w:r>
    </w:p>
    <w:p>
      <w:pPr>
        <w:spacing w:after="0" w:line="150" w:lineRule="exact"/>
        <w:rPr>
          <w:sz w:val="20"/>
          <w:szCs w:val="20"/>
          <w:color w:val="auto"/>
        </w:rPr>
      </w:pPr>
    </w:p>
    <w:p>
      <w:pPr>
        <w:jc w:val="both"/>
        <w:ind w:left="2" w:right="200"/>
        <w:spacing w:after="0" w:line="271" w:lineRule="auto"/>
        <w:rPr>
          <w:sz w:val="20"/>
          <w:szCs w:val="20"/>
          <w:color w:val="auto"/>
        </w:rPr>
      </w:pPr>
      <w:r>
        <w:rPr>
          <w:rFonts w:ascii="Arial" w:cs="Arial" w:eastAsia="Arial" w:hAnsi="Arial"/>
          <w:sz w:val="16"/>
          <w:szCs w:val="16"/>
          <w:color w:val="auto"/>
        </w:rPr>
        <w:t>In August 2007, the Company purchased certain assets of San Luis Truck Service Garage, Inc., which consisted of a parts and service center in San Luis Obispo, California. The Company is operating the facility as a Rush Truck Center offering parts and service. The transaction was valued at approximately $0.8 million, with the purchase price paid in cash.</w:t>
      </w:r>
    </w:p>
    <w:p>
      <w:pPr>
        <w:spacing w:after="0" w:line="162" w:lineRule="exact"/>
        <w:rPr>
          <w:sz w:val="20"/>
          <w:szCs w:val="20"/>
          <w:color w:val="auto"/>
        </w:rPr>
      </w:pPr>
    </w:p>
    <w:p>
      <w:pPr>
        <w:jc w:val="both"/>
        <w:ind w:left="2" w:right="320"/>
        <w:spacing w:after="0" w:line="266" w:lineRule="auto"/>
        <w:rPr>
          <w:sz w:val="20"/>
          <w:szCs w:val="20"/>
          <w:color w:val="auto"/>
        </w:rPr>
      </w:pPr>
      <w:r>
        <w:rPr>
          <w:rFonts w:ascii="Arial" w:cs="Arial" w:eastAsia="Arial" w:hAnsi="Arial"/>
          <w:sz w:val="16"/>
          <w:szCs w:val="16"/>
          <w:color w:val="auto"/>
        </w:rPr>
        <w:t>The San Luis Truck Service Garage, Inc. acquisition was accounted for as a purchase; operations of the business acquired are included in the accompanying consolidated financial statements from the date of the acquisition. Pro forma information is not included because San Luis Truck Service Garage, Inc.’s results of operations would not have a material effect on the Company’s financial statements. The purchase price was allocated based on the fair values of the assets at the date of acquisition as follows (in thousands):</w:t>
      </w:r>
    </w:p>
    <w:p>
      <w:pPr>
        <w:spacing w:after="0" w:line="178" w:lineRule="exact"/>
        <w:rPr>
          <w:sz w:val="20"/>
          <w:szCs w:val="20"/>
          <w:color w:val="auto"/>
        </w:rPr>
      </w:pPr>
    </w:p>
    <w:tbl>
      <w:tblPr>
        <w:tblLayout w:type="fixed"/>
        <w:tblInd w:w="2862" w:type="dxa"/>
        <w:tblCellMar>
          <w:top w:w="0" w:type="dxa"/>
          <w:left w:w="0" w:type="dxa"/>
          <w:bottom w:w="0" w:type="dxa"/>
          <w:right w:w="0" w:type="dxa"/>
        </w:tblCellMar>
      </w:tblP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Accrued expenses</w:t>
            </w:r>
          </w:p>
        </w:tc>
        <w:tc>
          <w:tcPr>
            <w:tcW w:w="4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4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17"/>
                <w:szCs w:val="17"/>
                <w:color w:val="auto"/>
              </w:rPr>
            </w:pPr>
          </w:p>
        </w:tc>
      </w:tr>
      <w:tr>
        <w:trPr>
          <w:trHeight w:val="189"/>
        </w:trPr>
        <w:tc>
          <w:tcPr>
            <w:tcW w:w="4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San Luis Truck Service Garage, Inc. acquisition will be amortized over 15 years for tax purposes.</w:t>
      </w:r>
    </w:p>
    <w:p>
      <w:pPr>
        <w:spacing w:after="0" w:line="209"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In March 2007, the Company purchased certain assets of Allen-Jensen, Inc., which consisted of a GMC and Isuzu truck dealership in Waco, Texas. The Company is operating the facility as a full-service Rush Truck Center offering Peterbilt heavy- and medium-duty trucks as well as medium-duty trucks manufactured by GMC and Isuzu, and parts and service. The transaction was valued at approximately $6.3 million, with the purchase price paid in cash.</w:t>
      </w:r>
    </w:p>
    <w:p>
      <w:pPr>
        <w:spacing w:after="0" w:line="162" w:lineRule="exact"/>
        <w:rPr>
          <w:sz w:val="20"/>
          <w:szCs w:val="20"/>
          <w:color w:val="auto"/>
        </w:rPr>
      </w:pPr>
    </w:p>
    <w:p>
      <w:pPr>
        <w:jc w:val="both"/>
        <w:ind w:left="2" w:right="180"/>
        <w:spacing w:after="0" w:line="297" w:lineRule="auto"/>
        <w:rPr>
          <w:sz w:val="20"/>
          <w:szCs w:val="20"/>
          <w:color w:val="auto"/>
        </w:rPr>
      </w:pPr>
      <w:r>
        <w:rPr>
          <w:rFonts w:ascii="Arial" w:cs="Arial" w:eastAsia="Arial" w:hAnsi="Arial"/>
          <w:sz w:val="15"/>
          <w:szCs w:val="15"/>
          <w:color w:val="auto"/>
        </w:rPr>
        <w:t>The Allen-Jensen, Inc. acquisition was accounted for as a purchase; operations of the business acquired are included in the accompanying consolidated financial statements from the date of the acquisition. Pro forma information is not included because Allen-Jensen, Inc.’s results of operations would not have a material effect on the Company’s financial statements. The purchase price was allocated based on the fair values of the assets at the date of acquisition as follows (in thousands):</w:t>
      </w:r>
    </w:p>
    <w:p>
      <w:pPr>
        <w:spacing w:after="0" w:line="157" w:lineRule="exact"/>
        <w:rPr>
          <w:sz w:val="20"/>
          <w:szCs w:val="20"/>
          <w:color w:val="auto"/>
        </w:rPr>
      </w:pPr>
    </w:p>
    <w:tbl>
      <w:tblPr>
        <w:tblLayout w:type="fixed"/>
        <w:tblInd w:w="2862" w:type="dxa"/>
        <w:tblCellMar>
          <w:top w:w="0" w:type="dxa"/>
          <w:left w:w="0" w:type="dxa"/>
          <w:bottom w:w="0" w:type="dxa"/>
          <w:right w:w="0" w:type="dxa"/>
        </w:tblCellMar>
      </w:tblP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20" w:type="dxa"/>
            <w:vAlign w:val="bottom"/>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r>
      <w:tr>
        <w:trPr>
          <w:trHeight w:val="19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7"/>
                <w:szCs w:val="17"/>
                <w:color w:val="auto"/>
              </w:rPr>
            </w:pPr>
          </w:p>
        </w:tc>
      </w:tr>
      <w:tr>
        <w:trPr>
          <w:trHeight w:val="189"/>
        </w:trPr>
        <w:tc>
          <w:tcPr>
            <w:tcW w:w="4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All of the goodwill acquired in the Allen-Jensen, Inc. acquisition will be amortized over 15 years for tax purposes.</w:t>
      </w:r>
    </w:p>
    <w:p>
      <w:pPr>
        <w:spacing w:after="0" w:line="209" w:lineRule="exact"/>
        <w:rPr>
          <w:sz w:val="20"/>
          <w:szCs w:val="20"/>
          <w:color w:val="auto"/>
        </w:rPr>
      </w:pPr>
    </w:p>
    <w:p>
      <w:pPr>
        <w:ind w:left="2" w:right="100"/>
        <w:spacing w:after="0" w:line="286"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w:t>
      </w:r>
    </w:p>
    <w:p>
      <w:pPr>
        <w:spacing w:after="0" w:line="150"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right="100"/>
        <w:spacing w:after="0" w:line="266" w:lineRule="auto"/>
        <w:rPr>
          <w:sz w:val="20"/>
          <w:szCs w:val="20"/>
          <w:color w:val="auto"/>
        </w:rPr>
      </w:pPr>
      <w:r>
        <w:rPr>
          <w:rFonts w:ascii="Arial" w:cs="Arial" w:eastAsia="Arial" w:hAnsi="Arial"/>
          <w:sz w:val="16"/>
          <w:szCs w:val="16"/>
          <w:color w:val="auto"/>
        </w:rPr>
        <w:t>associated with Advanced Transportation Insurance Services, Inc. The total transaction was valued at approximately $2.1 million, with the purchase price financed with cash of $0.6 million and notes payable of $1.5 million. Pro forma information is not included because Advanced Transportation Insurance Services, Inc.’s results of operations would not have a material effect on the Company’s financial statements. The entire purchase price was allocated to goodwill and $1.6 million of the goodwill will be amortized over 15 years for tax purposes.</w:t>
      </w:r>
    </w:p>
    <w:p>
      <w:pPr>
        <w:spacing w:after="0" w:line="166" w:lineRule="exact"/>
        <w:rPr>
          <w:sz w:val="20"/>
          <w:szCs w:val="20"/>
          <w:color w:val="auto"/>
        </w:rPr>
      </w:pPr>
    </w:p>
    <w:p>
      <w:pPr>
        <w:ind w:left="382" w:hanging="382"/>
        <w:spacing w:after="0"/>
        <w:tabs>
          <w:tab w:leader="none" w:pos="38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ectPr>
          <w:pgSz w:w="11900" w:h="16874" w:orient="portrait"/>
          <w:cols w:equalWidth="0" w:num="1">
            <w:col w:w="11462"/>
          </w:cols>
          <w:pgMar w:left="238" w:top="127" w:right="199" w:bottom="0" w:gutter="0" w:footer="0" w:header="0"/>
        </w:sectPr>
      </w:pPr>
    </w:p>
    <w:bookmarkStart w:id="40" w:name="page41"/>
    <w:bookmarkEnd w:id="40"/>
    <w:p>
      <w:pPr>
        <w:ind w:left="2"/>
        <w:spacing w:after="0" w:line="271" w:lineRule="auto"/>
        <w:rPr>
          <w:sz w:val="20"/>
          <w:szCs w:val="20"/>
          <w:color w:val="auto"/>
        </w:rPr>
      </w:pPr>
      <w:r>
        <w:rPr>
          <w:rFonts w:ascii="Arial" w:cs="Arial" w:eastAsia="Arial" w:hAnsi="Arial"/>
          <w:sz w:val="16"/>
          <w:szCs w:val="16"/>
          <w:color w:val="auto"/>
        </w:rPr>
        <w:t>On a quarterly basis, the Company assesses its investments for impairment.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62" w:lineRule="exact"/>
        <w:rPr>
          <w:sz w:val="20"/>
          <w:szCs w:val="20"/>
          <w:color w:val="auto"/>
        </w:rPr>
      </w:pPr>
    </w:p>
    <w:p>
      <w:pPr>
        <w:ind w:left="2" w:right="40"/>
        <w:spacing w:after="0" w:line="266" w:lineRule="auto"/>
        <w:rPr>
          <w:sz w:val="20"/>
          <w:szCs w:val="20"/>
          <w:color w:val="auto"/>
        </w:rPr>
      </w:pPr>
      <w:r>
        <w:rPr>
          <w:rFonts w:ascii="Arial" w:cs="Arial" w:eastAsia="Arial" w:hAnsi="Arial"/>
          <w:sz w:val="16"/>
          <w:szCs w:val="16"/>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66" w:lineRule="exact"/>
        <w:rPr>
          <w:sz w:val="20"/>
          <w:szCs w:val="20"/>
          <w:color w:val="auto"/>
        </w:rPr>
      </w:pPr>
    </w:p>
    <w:p>
      <w:pPr>
        <w:jc w:val="both"/>
        <w:ind w:left="2" w:right="20"/>
        <w:spacing w:after="0" w:line="298" w:lineRule="auto"/>
        <w:rPr>
          <w:sz w:val="20"/>
          <w:szCs w:val="20"/>
          <w:color w:val="auto"/>
        </w:rPr>
      </w:pPr>
      <w:r>
        <w:rPr>
          <w:rFonts w:ascii="Arial" w:cs="Arial" w:eastAsia="Arial" w:hAnsi="Arial"/>
          <w:sz w:val="14"/>
          <w:szCs w:val="14"/>
          <w:color w:val="auto"/>
        </w:rPr>
        <w:t>As a result of the recent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w:t>
      </w:r>
    </w:p>
    <w:p>
      <w:pPr>
        <w:ind w:left="2" w:right="100"/>
        <w:spacing w:after="0" w:line="264" w:lineRule="auto"/>
        <w:rPr>
          <w:sz w:val="20"/>
          <w:szCs w:val="20"/>
          <w:color w:val="auto"/>
        </w:rPr>
      </w:pPr>
      <w:r>
        <w:rPr>
          <w:rFonts w:ascii="Arial" w:cs="Arial" w:eastAsia="Arial" w:hAnsi="Arial"/>
          <w:sz w:val="16"/>
          <w:szCs w:val="16"/>
          <w:color w:val="auto"/>
        </w:rPr>
        <w:t>The Company believes that its auction rate securities will liquidate within the next twelve months and has classified them as a current asset on its consolidated balance sheet.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66" w:lineRule="exact"/>
        <w:rPr>
          <w:sz w:val="20"/>
          <w:szCs w:val="20"/>
          <w:color w:val="auto"/>
        </w:rPr>
      </w:pPr>
    </w:p>
    <w:p>
      <w:pPr>
        <w:jc w:val="both"/>
        <w:ind w:left="2" w:right="140"/>
        <w:spacing w:after="0" w:line="297" w:lineRule="auto"/>
        <w:rPr>
          <w:sz w:val="20"/>
          <w:szCs w:val="20"/>
          <w:color w:val="auto"/>
        </w:rPr>
      </w:pPr>
      <w:r>
        <w:rPr>
          <w:rFonts w:ascii="Arial" w:cs="Arial" w:eastAsia="Arial" w:hAnsi="Arial"/>
          <w:sz w:val="15"/>
          <w:szCs w:val="15"/>
          <w:color w:val="auto"/>
        </w:rPr>
        <w:t>As of December 31, 2007, the Company did not carry any short-term investments, as its previous practice had been to liquidate its short-term investments, including auction rate securities near the end of each fiscal quarter. However, as of December 31, 2008, the Company holds $7.6 million of auction rate securities with underlying tax-exempt municipal bonds with stated maturities of 22 years. These bonds have credit wrap insurance and have been rated AAA by credit agencies.</w:t>
      </w:r>
    </w:p>
    <w:p>
      <w:pPr>
        <w:spacing w:after="0" w:line="145" w:lineRule="exact"/>
        <w:rPr>
          <w:sz w:val="20"/>
          <w:szCs w:val="20"/>
          <w:color w:val="auto"/>
        </w:rPr>
      </w:pPr>
    </w:p>
    <w:p>
      <w:pPr>
        <w:ind w:left="2" w:right="160"/>
        <w:spacing w:after="0" w:line="262" w:lineRule="auto"/>
        <w:rPr>
          <w:sz w:val="20"/>
          <w:szCs w:val="20"/>
          <w:color w:val="auto"/>
        </w:rPr>
      </w:pPr>
      <w:r>
        <w:rPr>
          <w:rFonts w:ascii="Arial" w:cs="Arial" w:eastAsia="Arial" w:hAnsi="Arial"/>
          <w:sz w:val="16"/>
          <w:szCs w:val="16"/>
          <w:color w:val="auto"/>
        </w:rPr>
        <w:t>The Company believes that the credit quality and fair value of the auction rate securities it holds has not been negatively impacted; therefore, no impairment charges have been recorded as of December 31, 2008. As of December 31, 2008,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SFAS No. 157, “Fair Value Measurement.” If the credit quality of these investments deteriorates, or adverse developments occur in the bond insurance market, the Company may be required to record an impairment charge on these investments in the future.</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left="2" w:right="7640" w:hanging="2"/>
        <w:spacing w:after="0" w:line="286" w:lineRule="auto"/>
        <w:tabs>
          <w:tab w:leader="none" w:pos="39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UNAUDITED QUARTERLY FINANCIAL DATA</w:t>
      </w:r>
      <w:r>
        <w:rPr>
          <w:rFonts w:ascii="Arial" w:cs="Arial" w:eastAsia="Arial" w:hAnsi="Arial"/>
          <w:sz w:val="16"/>
          <w:szCs w:val="16"/>
          <w:color w:val="auto"/>
        </w:rPr>
        <w:t>: (In thousands, except per share amounts.)</w:t>
      </w:r>
    </w:p>
    <w:p>
      <w:pPr>
        <w:spacing w:after="0" w:line="12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9"/>
              </w:rPr>
              <w:t>First</w:t>
            </w:r>
          </w:p>
        </w:tc>
        <w:tc>
          <w:tcPr>
            <w:tcW w:w="240" w:type="dxa"/>
            <w:vAlign w:val="bottom"/>
          </w:tcPr>
          <w:p>
            <w:pPr>
              <w:spacing w:after="0"/>
              <w:rPr>
                <w:sz w:val="12"/>
                <w:szCs w:val="12"/>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5"/>
              </w:rPr>
              <w:t>Second</w:t>
            </w:r>
          </w:p>
        </w:tc>
        <w:tc>
          <w:tcPr>
            <w:tcW w:w="240" w:type="dxa"/>
            <w:vAlign w:val="bottom"/>
          </w:tcPr>
          <w:p>
            <w:pPr>
              <w:spacing w:after="0"/>
              <w:rPr>
                <w:sz w:val="12"/>
                <w:szCs w:val="12"/>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8"/>
              </w:rPr>
              <w:t>Third</w:t>
            </w:r>
          </w:p>
        </w:tc>
        <w:tc>
          <w:tcPr>
            <w:tcW w:w="24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Fourth</w:t>
            </w:r>
          </w:p>
        </w:tc>
      </w:tr>
      <w:tr>
        <w:trPr>
          <w:trHeight w:val="155"/>
        </w:trPr>
        <w:tc>
          <w:tcPr>
            <w:tcW w:w="3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7"/>
              </w:rPr>
              <w:t>Quarter</w:t>
            </w:r>
          </w:p>
        </w:tc>
        <w:tc>
          <w:tcPr>
            <w:tcW w:w="240" w:type="dxa"/>
            <w:vAlign w:val="bottom"/>
          </w:tcPr>
          <w:p>
            <w:pPr>
              <w:spacing w:after="0"/>
              <w:rPr>
                <w:sz w:val="13"/>
                <w:szCs w:val="13"/>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7"/>
              </w:rPr>
              <w:t>Quarter</w:t>
            </w:r>
          </w:p>
        </w:tc>
        <w:tc>
          <w:tcPr>
            <w:tcW w:w="240" w:type="dxa"/>
            <w:vAlign w:val="bottom"/>
          </w:tcPr>
          <w:p>
            <w:pPr>
              <w:spacing w:after="0"/>
              <w:rPr>
                <w:sz w:val="13"/>
                <w:szCs w:val="13"/>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7"/>
              </w:rPr>
              <w:t>Quarter</w:t>
            </w:r>
          </w:p>
        </w:tc>
        <w:tc>
          <w:tcPr>
            <w:tcW w:w="2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Quarter</w:t>
            </w:r>
          </w:p>
        </w:tc>
      </w:tr>
      <w:tr>
        <w:trPr>
          <w:trHeight w:val="156"/>
        </w:trPr>
        <w:tc>
          <w:tcPr>
            <w:tcW w:w="576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6"/>
                <w:szCs w:val="16"/>
                <w:b w:val="1"/>
                <w:bCs w:val="1"/>
                <w:color w:val="auto"/>
              </w:rPr>
              <w:t>2008</w:t>
            </w: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96"/>
        </w:trPr>
        <w:tc>
          <w:tcPr>
            <w:tcW w:w="340" w:type="dxa"/>
            <w:vAlign w:val="bottom"/>
            <w:tcBorders>
              <w:top w:val="single" w:sz="8" w:color="auto"/>
            </w:tcBorders>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403,858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454,718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413,696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382,684</w:t>
            </w: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78,179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74,413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76,385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67,735</w:t>
            </w: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15,481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9,706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12,167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7,733</w:t>
            </w: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w:t>
            </w: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Earnings per share: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0.25</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0.16</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0.21</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7"/>
                <w:szCs w:val="17"/>
                <w:color w:val="auto"/>
              </w:rPr>
            </w:pPr>
          </w:p>
        </w:tc>
      </w:tr>
      <w:tr>
        <w:trPr>
          <w:trHeight w:val="196"/>
        </w:trPr>
        <w:tc>
          <w:tcPr>
            <w:tcW w:w="3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8"/>
        </w:trPr>
        <w:tc>
          <w:tcPr>
            <w:tcW w:w="5760" w:type="dxa"/>
            <w:vAlign w:val="bottom"/>
            <w:gridSpan w:val="2"/>
          </w:tcPr>
          <w:p>
            <w:pPr>
              <w:spacing w:after="0" w:line="160" w:lineRule="exact"/>
              <w:rPr>
                <w:sz w:val="20"/>
                <w:szCs w:val="20"/>
                <w:color w:val="auto"/>
              </w:rPr>
            </w:pPr>
            <w:r>
              <w:rPr>
                <w:rFonts w:ascii="Arial" w:cs="Arial" w:eastAsia="Arial" w:hAnsi="Arial"/>
                <w:sz w:val="16"/>
                <w:szCs w:val="16"/>
                <w:b w:val="1"/>
                <w:bCs w:val="1"/>
                <w:color w:val="auto"/>
              </w:rPr>
              <w:t>2007</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5"/>
        </w:trPr>
        <w:tc>
          <w:tcPr>
            <w:tcW w:w="340" w:type="dxa"/>
            <w:vAlign w:val="bottom"/>
            <w:tcBorders>
              <w:top w:val="single" w:sz="8" w:color="auto"/>
            </w:tcBorders>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531,258</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519,404</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521,598</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458,519</w:t>
            </w: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89,496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91,725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81,106</w:t>
            </w: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25,446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24,192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21,323</w:t>
            </w: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w:t>
            </w: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13,024</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13,048</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13,128</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12,292</w:t>
            </w: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share: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76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0.34</w:t>
            </w:r>
          </w:p>
        </w:tc>
        <w:tc>
          <w:tcPr>
            <w:tcW w:w="26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0.34</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0.34</w:t>
            </w:r>
          </w:p>
        </w:tc>
        <w:tc>
          <w:tcPr>
            <w:tcW w:w="24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7"/>
                <w:szCs w:val="17"/>
                <w:color w:val="auto"/>
              </w:rPr>
            </w:pPr>
          </w:p>
        </w:tc>
      </w:tr>
      <w:tr>
        <w:trPr>
          <w:trHeight w:val="19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2"/>
        <w:spacing w:after="0"/>
        <w:tabs>
          <w:tab w:leader="none" w:pos="361"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u w:val="single" w:color="auto"/>
          <w:color w:val="auto"/>
        </w:rPr>
        <w:t>SEGMENTS</w:t>
      </w:r>
      <w:r>
        <w:rPr>
          <w:rFonts w:ascii="Arial" w:cs="Arial" w:eastAsia="Arial" w:hAnsi="Arial"/>
          <w:sz w:val="16"/>
          <w:szCs w:val="16"/>
          <w:color w:val="auto"/>
        </w:rPr>
        <w:t>:</w:t>
      </w:r>
    </w:p>
    <w:p>
      <w:pPr>
        <w:spacing w:after="0" w:line="209" w:lineRule="exact"/>
        <w:rPr>
          <w:sz w:val="20"/>
          <w:szCs w:val="20"/>
          <w:color w:val="auto"/>
        </w:rPr>
      </w:pPr>
    </w:p>
    <w:p>
      <w:pPr>
        <w:ind w:left="2" w:right="360"/>
        <w:spacing w:after="0" w:line="289" w:lineRule="auto"/>
        <w:rPr>
          <w:sz w:val="20"/>
          <w:szCs w:val="20"/>
          <w:color w:val="auto"/>
        </w:rPr>
      </w:pPr>
      <w:r>
        <w:rPr>
          <w:rFonts w:ascii="Arial" w:cs="Arial" w:eastAsia="Arial" w:hAnsi="Arial"/>
          <w:sz w:val="15"/>
          <w:szCs w:val="15"/>
          <w:color w:val="auto"/>
        </w:rPr>
        <w:t>The Financial Accounting Standards Board issued Statement of Financial Accounting Standards No. 131, “Disclosures about Segments of an Enterprise and Related Information” (“SFAS 131”). This statement requires that public business enterprises report certain information about operating segments in complete sets of financial statements of the enterprise and in condensed financial statements of interim periods issued to shareholders. It also requires that public business enterprises report certain information about their products and services, the geographic areas in which they operate, and their major customers.</w:t>
      </w:r>
    </w:p>
    <w:p>
      <w:pPr>
        <w:spacing w:after="0" w:line="150" w:lineRule="exact"/>
        <w:rPr>
          <w:sz w:val="20"/>
          <w:szCs w:val="20"/>
          <w:color w:val="auto"/>
        </w:rPr>
      </w:pPr>
    </w:p>
    <w:p>
      <w:pPr>
        <w:ind w:left="2" w:right="100"/>
        <w:spacing w:after="0" w:line="262"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regional network of truck centers that provide an integrated one-stop source for the trucking needs of its customers, including retail sales of new and used heavy- and medium-duty trucks; aftermarket parts, service and body shop facilities; and a wide array of financial services, including the financing of new and used truck purchases, insurance products and truck leasing and rentals. The Construction Equipment segment operates a full-service John Deere dealership that serves the Houston, Texas area. Construction Equipment dealership operations include the retail sale of new and used construction equipment, aftermarket parts and service facilities, equipment rentals, and the financing of new and used construction equipment.</w:t>
      </w:r>
    </w:p>
    <w:p>
      <w:pPr>
        <w:spacing w:after="0" w:line="169" w:lineRule="exact"/>
        <w:rPr>
          <w:sz w:val="20"/>
          <w:szCs w:val="20"/>
          <w:color w:val="auto"/>
        </w:rPr>
      </w:pPr>
    </w:p>
    <w:p>
      <w:pPr>
        <w:ind w:left="2" w:right="280"/>
        <w:spacing w:after="0" w:line="286"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50" w:lineRule="exact"/>
        <w:rPr>
          <w:sz w:val="20"/>
          <w:szCs w:val="20"/>
          <w:color w:val="auto"/>
        </w:rPr>
      </w:pPr>
    </w:p>
    <w:p>
      <w:pPr>
        <w:ind w:left="2" w:right="760"/>
        <w:spacing w:after="0" w:line="286" w:lineRule="auto"/>
        <w:rPr>
          <w:sz w:val="20"/>
          <w:szCs w:val="20"/>
          <w:color w:val="auto"/>
        </w:rPr>
      </w:pPr>
      <w:r>
        <w:rPr>
          <w:rFonts w:ascii="Arial" w:cs="Arial" w:eastAsia="Arial" w:hAnsi="Arial"/>
          <w:sz w:val="16"/>
          <w:szCs w:val="16"/>
          <w:color w:val="auto"/>
        </w:rPr>
        <w:t>The Company accounts for intersegment sales and transfers as if the sales or transfers were to third parties, that is, at current market prices. There were no material intersegment sales during the years ended December 31, 2008, 2007 and 2006.</w:t>
      </w:r>
    </w:p>
    <w:p>
      <w:pPr>
        <w:spacing w:after="0" w:line="150" w:lineRule="exact"/>
        <w:rPr>
          <w:sz w:val="20"/>
          <w:szCs w:val="20"/>
          <w:color w:val="auto"/>
        </w:rPr>
      </w:pPr>
    </w:p>
    <w:p>
      <w:pPr>
        <w:ind w:left="2" w:right="200"/>
        <w:spacing w:after="0" w:line="286" w:lineRule="auto"/>
        <w:rPr>
          <w:sz w:val="20"/>
          <w:szCs w:val="20"/>
          <w:color w:val="auto"/>
        </w:rPr>
      </w:pPr>
      <w:r>
        <w:rPr>
          <w:rFonts w:ascii="Arial" w:cs="Arial" w:eastAsia="Arial" w:hAnsi="Arial"/>
          <w:sz w:val="16"/>
          <w:szCs w:val="16"/>
          <w:color w:val="auto"/>
        </w:rPr>
        <w:t>The Company’s reportable segments are strategic business units that offer different products and services. They are managed separately because each business unit requires different technology and marketing</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6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640" cy="26670"/>
                    </a:xfrm>
                    <a:prstGeom prst="rect">
                      <a:avLst/>
                    </a:prstGeom>
                    <a:noFill/>
                  </pic:spPr>
                </pic:pic>
              </a:graphicData>
            </a:graphic>
          </wp:anchor>
        </w:drawing>
      </w:r>
    </w:p>
    <w:p>
      <w:pPr>
        <w:sectPr>
          <w:pgSz w:w="11900" w:h="16838" w:orient="portrait"/>
          <w:cols w:equalWidth="0" w:num="1">
            <w:col w:w="11422"/>
          </w:cols>
          <w:pgMar w:left="238" w:top="323" w:right="239" w:bottom="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strategies. Business units were maintained through expansion and acquisitions. The following table contains summarized information about reportable segment profit or loss and segment assets for the years ended December 31, 2008, 2007 and 2006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8"/>
              </w:rPr>
              <w:t>Construction</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3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5"/>
              </w:rPr>
              <w:t>Truck</w:t>
            </w:r>
          </w:p>
        </w:tc>
        <w:tc>
          <w:tcPr>
            <w:tcW w:w="200" w:type="dxa"/>
            <w:vAlign w:val="bottom"/>
          </w:tcPr>
          <w:p>
            <w:pPr>
              <w:spacing w:after="0"/>
              <w:rPr>
                <w:sz w:val="11"/>
                <w:szCs w:val="11"/>
                <w:color w:val="auto"/>
              </w:rPr>
            </w:pPr>
          </w:p>
        </w:tc>
        <w:tc>
          <w:tcPr>
            <w:tcW w:w="142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5"/>
              </w:rPr>
              <w:t>Equipment</w:t>
            </w:r>
          </w:p>
        </w:tc>
        <w:tc>
          <w:tcPr>
            <w:tcW w:w="320" w:type="dxa"/>
            <w:vAlign w:val="bottom"/>
          </w:tcPr>
          <w:p>
            <w:pPr>
              <w:spacing w:after="0"/>
              <w:rPr>
                <w:sz w:val="11"/>
                <w:szCs w:val="11"/>
                <w:color w:val="auto"/>
              </w:rPr>
            </w:pP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6"/>
              </w:rPr>
              <w:t>All</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3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7"/>
              </w:rPr>
              <w:t>Segment</w:t>
            </w:r>
          </w:p>
        </w:tc>
        <w:tc>
          <w:tcPr>
            <w:tcW w:w="200" w:type="dxa"/>
            <w:vAlign w:val="bottom"/>
          </w:tcPr>
          <w:p>
            <w:pPr>
              <w:spacing w:after="0"/>
              <w:rPr>
                <w:sz w:val="13"/>
                <w:szCs w:val="13"/>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Segment</w:t>
            </w:r>
          </w:p>
        </w:tc>
        <w:tc>
          <w:tcPr>
            <w:tcW w:w="320" w:type="dxa"/>
            <w:vAlign w:val="bottom"/>
          </w:tcPr>
          <w:p>
            <w:pPr>
              <w:spacing w:after="0"/>
              <w:rPr>
                <w:sz w:val="13"/>
                <w:szCs w:val="13"/>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Totals</w:t>
            </w:r>
          </w:p>
        </w:tc>
      </w:tr>
      <w:tr>
        <w:trPr>
          <w:trHeight w:val="156"/>
        </w:trPr>
        <w:tc>
          <w:tcPr>
            <w:tcW w:w="340" w:type="dxa"/>
            <w:vAlign w:val="bottom"/>
            <w:tcBorders>
              <w:top w:val="single" w:sz="8" w:color="CCEEFF"/>
              <w:bottom w:val="single" w:sz="8" w:color="auto"/>
            </w:tcBorders>
            <w:shd w:val="clear" w:color="auto" w:fill="CCEEFF"/>
          </w:tcPr>
          <w:p>
            <w:pPr>
              <w:spacing w:after="0" w:line="139" w:lineRule="exact"/>
              <w:rPr>
                <w:sz w:val="20"/>
                <w:szCs w:val="20"/>
                <w:color w:val="auto"/>
              </w:rPr>
            </w:pPr>
            <w:r>
              <w:rPr>
                <w:rFonts w:ascii="Arial" w:cs="Arial" w:eastAsia="Arial" w:hAnsi="Arial"/>
                <w:sz w:val="16"/>
                <w:szCs w:val="16"/>
                <w:b w:val="1"/>
                <w:bCs w:val="1"/>
                <w:color w:val="auto"/>
                <w:w w:val="89"/>
              </w:rPr>
              <w:t>2008</w:t>
            </w:r>
          </w:p>
        </w:tc>
        <w:tc>
          <w:tcPr>
            <w:tcW w:w="47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Revenues from external customers</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1,553,298</w:t>
            </w:r>
          </w:p>
        </w:tc>
        <w:tc>
          <w:tcPr>
            <w:tcW w:w="26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83,763</w:t>
            </w:r>
          </w:p>
        </w:tc>
        <w:tc>
          <w:tcPr>
            <w:tcW w:w="26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17,895</w:t>
            </w:r>
          </w:p>
        </w:tc>
        <w:tc>
          <w:tcPr>
            <w:tcW w:w="260" w:type="dxa"/>
            <w:vAlign w:val="bottom"/>
          </w:tcPr>
          <w:p>
            <w:pPr>
              <w:spacing w:after="0"/>
              <w:rPr>
                <w:sz w:val="17"/>
                <w:szCs w:val="17"/>
                <w:color w:val="auto"/>
              </w:rPr>
            </w:pP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1,654,956</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9,359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10,466</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15,878</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Segment income before income tax</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38,549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45,087</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1,000,470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1,056,790</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135,191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141,904</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Expenditures for segment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80,573</w:t>
            </w:r>
          </w:p>
        </w:tc>
        <w:tc>
          <w:tcPr>
            <w:tcW w:w="80" w:type="dxa"/>
            <w:vAlign w:val="bottom"/>
            <w:shd w:val="clear" w:color="auto" w:fill="CCEEFF"/>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340" w:type="dxa"/>
            <w:vAlign w:val="bottom"/>
            <w:tcBorders>
              <w:bottom w:val="single" w:sz="8" w:color="auto"/>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w w:val="89"/>
              </w:rPr>
              <w:t>2007</w:t>
            </w:r>
          </w:p>
        </w:tc>
        <w:tc>
          <w:tcPr>
            <w:tcW w:w="47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Revenues from external customers</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1,914,897</w:t>
            </w:r>
          </w:p>
        </w:tc>
        <w:tc>
          <w:tcPr>
            <w:tcW w:w="26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97,130</w:t>
            </w:r>
          </w:p>
        </w:tc>
        <w:tc>
          <w:tcPr>
            <w:tcW w:w="26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18,752</w:t>
            </w:r>
          </w:p>
        </w:tc>
        <w:tc>
          <w:tcPr>
            <w:tcW w:w="260" w:type="dxa"/>
            <w:vAlign w:val="bottom"/>
          </w:tcPr>
          <w:p>
            <w:pPr>
              <w:spacing w:after="0"/>
              <w:rPr>
                <w:sz w:val="17"/>
                <w:szCs w:val="17"/>
                <w:color w:val="auto"/>
              </w:rPr>
            </w:pP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2,030,779</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17,749</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14,935</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Segment income before income tax</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71,736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8,527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81,802</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973,434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1,031,591</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113,869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120,582</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Expenditures for segment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71,977</w:t>
            </w:r>
          </w:p>
        </w:tc>
        <w:tc>
          <w:tcPr>
            <w:tcW w:w="80" w:type="dxa"/>
            <w:vAlign w:val="bottom"/>
            <w:shd w:val="clear" w:color="auto" w:fill="CCEEFF"/>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340" w:type="dxa"/>
            <w:vAlign w:val="bottom"/>
            <w:tcBorders>
              <w:bottom w:val="single" w:sz="8" w:color="auto"/>
            </w:tcBorders>
            <w:shd w:val="clear" w:color="auto" w:fill="CCEEFF"/>
          </w:tcPr>
          <w:p>
            <w:pPr>
              <w:spacing w:after="0" w:line="160" w:lineRule="exact"/>
              <w:rPr>
                <w:sz w:val="20"/>
                <w:szCs w:val="20"/>
                <w:color w:val="auto"/>
              </w:rPr>
            </w:pPr>
            <w:r>
              <w:rPr>
                <w:rFonts w:ascii="Arial" w:cs="Arial" w:eastAsia="Arial" w:hAnsi="Arial"/>
                <w:sz w:val="16"/>
                <w:szCs w:val="16"/>
                <w:b w:val="1"/>
                <w:bCs w:val="1"/>
                <w:color w:val="auto"/>
                <w:w w:val="89"/>
              </w:rPr>
              <w:t>2006</w:t>
            </w:r>
          </w:p>
        </w:tc>
        <w:tc>
          <w:tcPr>
            <w:tcW w:w="47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Revenues from external customers</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2,254,123</w:t>
            </w:r>
          </w:p>
        </w:tc>
        <w:tc>
          <w:tcPr>
            <w:tcW w:w="26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77,816</w:t>
            </w:r>
          </w:p>
        </w:tc>
        <w:tc>
          <w:tcPr>
            <w:tcW w:w="260" w:type="dxa"/>
            <w:vAlign w:val="bottom"/>
          </w:tcPr>
          <w:p>
            <w:pPr>
              <w:spacing w:after="0"/>
              <w:rPr>
                <w:sz w:val="17"/>
                <w:szCs w:val="17"/>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18,584</w:t>
            </w:r>
          </w:p>
        </w:tc>
        <w:tc>
          <w:tcPr>
            <w:tcW w:w="260" w:type="dxa"/>
            <w:vAlign w:val="bottom"/>
          </w:tcPr>
          <w:p>
            <w:pPr>
              <w:spacing w:after="0"/>
              <w:rPr>
                <w:sz w:val="17"/>
                <w:szCs w:val="17"/>
                <w:color w:val="auto"/>
              </w:rPr>
            </w:pP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2,350,523</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16,697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17,880</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Segment income before income tax</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86,116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5,624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94,058</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1,084,343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1,128,410</w:t>
            </w:r>
          </w:p>
        </w:tc>
        <w:tc>
          <w:tcPr>
            <w:tcW w:w="80" w:type="dxa"/>
            <w:vAlign w:val="bottom"/>
            <w:shd w:val="clear" w:color="auto" w:fill="CCEEFF"/>
          </w:tcPr>
          <w:p>
            <w:pPr>
              <w:spacing w:after="0"/>
              <w:rPr>
                <w:sz w:val="17"/>
                <w:szCs w:val="17"/>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112,535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117,071</w:t>
            </w:r>
          </w:p>
        </w:tc>
        <w:tc>
          <w:tcPr>
            <w:tcW w:w="80" w:type="dxa"/>
            <w:vAlign w:val="bottom"/>
          </w:tcPr>
          <w:p>
            <w:pPr>
              <w:spacing w:after="0"/>
              <w:rPr>
                <w:sz w:val="17"/>
                <w:szCs w:val="17"/>
                <w:color w:val="auto"/>
              </w:rPr>
            </w:pPr>
          </w:p>
        </w:tc>
      </w:tr>
      <w:tr>
        <w:trPr>
          <w:trHeight w:val="196"/>
        </w:trPr>
        <w:tc>
          <w:tcPr>
            <w:tcW w:w="5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Expenditures for segment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116,105</w:t>
            </w:r>
          </w:p>
        </w:tc>
        <w:tc>
          <w:tcPr>
            <w:tcW w:w="8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right="140"/>
        <w:spacing w:after="0" w:line="362" w:lineRule="auto"/>
        <w:rPr>
          <w:sz w:val="20"/>
          <w:szCs w:val="20"/>
          <w:color w:val="auto"/>
        </w:rPr>
      </w:pPr>
      <w:r>
        <w:rPr>
          <w:rFonts w:ascii="Arial" w:cs="Arial" w:eastAsia="Arial" w:hAnsi="Arial"/>
          <w:sz w:val="14"/>
          <w:szCs w:val="14"/>
          <w:color w:val="auto"/>
        </w:rPr>
        <w:t>Revenues from segments below the quantitative thresholds are attributable to three operating segments of the Company. Those segments include a tire retailing company, an insurance company and a hunting lease operation. None of those segments has ever met any of the quantitative thresholds for determining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There were no changes or disagreements on any matters of accounting principles or financial statement disclosure between the Company and its independent auditors during the two most recent fiscal years or any subsequent interim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09"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concluded that our disclosure controls and procedures were effective as of December 31, 2008, to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09" w:lineRule="exact"/>
        <w:rPr>
          <w:sz w:val="20"/>
          <w:szCs w:val="20"/>
          <w:color w:val="auto"/>
        </w:rPr>
      </w:pPr>
    </w:p>
    <w:p>
      <w:pPr>
        <w:ind w:right="300" w:firstLine="589"/>
        <w:spacing w:after="0" w:line="286" w:lineRule="auto"/>
        <w:rPr>
          <w:sz w:val="20"/>
          <w:szCs w:val="20"/>
          <w:color w:val="auto"/>
        </w:rPr>
      </w:pPr>
      <w:r>
        <w:rPr>
          <w:rFonts w:ascii="Arial" w:cs="Arial" w:eastAsia="Arial" w:hAnsi="Arial"/>
          <w:sz w:val="16"/>
          <w:szCs w:val="16"/>
          <w:color w:val="auto"/>
        </w:rPr>
        <w:t>There were no changes in the Company’s internal control over financial reporting that occurred during the quarter ended December 31, 2008 that have materially affected, or are reasonably likely to materially affect,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209" w:lineRule="exact"/>
        <w:rPr>
          <w:sz w:val="20"/>
          <w:szCs w:val="20"/>
          <w:color w:val="auto"/>
        </w:rPr>
      </w:pPr>
    </w:p>
    <w:p>
      <w:pPr>
        <w:ind w:right="280" w:firstLine="589"/>
        <w:spacing w:after="0" w:line="266"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for the Company.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66"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As of December 31, 2008,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2008, based on those criteria.</w:t>
      </w:r>
    </w:p>
    <w:p>
      <w:pPr>
        <w:spacing w:after="0" w:line="166" w:lineRule="exact"/>
        <w:rPr>
          <w:sz w:val="20"/>
          <w:szCs w:val="20"/>
          <w:color w:val="auto"/>
        </w:rPr>
      </w:pPr>
    </w:p>
    <w:p>
      <w:pPr>
        <w:jc w:val="both"/>
        <w:ind w:right="320" w:firstLine="589"/>
        <w:spacing w:after="0" w:line="362" w:lineRule="auto"/>
        <w:rPr>
          <w:sz w:val="20"/>
          <w:szCs w:val="20"/>
          <w:color w:val="auto"/>
        </w:rPr>
      </w:pPr>
      <w:r>
        <w:rPr>
          <w:rFonts w:ascii="Arial" w:cs="Arial" w:eastAsia="Arial" w:hAnsi="Arial"/>
          <w:sz w:val="14"/>
          <w:szCs w:val="14"/>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2008. The report,</w:t>
      </w:r>
    </w:p>
    <w:p>
      <w:pPr>
        <w:sectPr>
          <w:pgSz w:w="11900" w:h="16838" w:orient="portrait"/>
          <w:cols w:equalWidth="0" w:num="1">
            <w:col w:w="11420"/>
          </w:cols>
          <w:pgMar w:left="240" w:top="348" w:right="239" w:bottom="0" w:gutter="0" w:footer="0" w:header="0"/>
        </w:sectPr>
      </w:pPr>
    </w:p>
    <w:bookmarkStart w:id="42" w:name="page43"/>
    <w:bookmarkEnd w:id="42"/>
    <w:p>
      <w:pPr>
        <w:ind w:right="300"/>
        <w:spacing w:after="0" w:line="286" w:lineRule="auto"/>
        <w:rPr>
          <w:sz w:val="20"/>
          <w:szCs w:val="20"/>
          <w:color w:val="auto"/>
        </w:rPr>
      </w:pPr>
      <w:r>
        <w:rPr>
          <w:rFonts w:ascii="Arial" w:cs="Arial" w:eastAsia="Arial" w:hAnsi="Arial"/>
          <w:sz w:val="16"/>
          <w:szCs w:val="16"/>
          <w:color w:val="auto"/>
        </w:rPr>
        <w:t>which expresses unqualified opinions on the effectiveness of the Company’s internal control over financial reporting as of December 31, 2008, is included in this Item 9A under the heading “Attestation Report of Independent Registered Public Accounting Firm.”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Attestation Report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Ernst &amp; Young LLP</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Board of Directors and Shareholders of Rush Enterprises, Inc.</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have audited Rush Enterprises, Inc.’s internal control over financial reporting as of December 31, 2008, based on criteria established in Internal Control- Integrated Framework issued by the Committee of Sponsoring Organizations of the Treadway Commission (the COSO criteria). Rush Enterprises,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our opinion, Rush Enterprises, Inc. maintained, in all material respects, effective internal control over financial reporting as of December 31, 2008, based on the COSO criteria.</w:t>
      </w:r>
    </w:p>
    <w:p>
      <w:pPr>
        <w:spacing w:after="0" w:line="150" w:lineRule="exact"/>
        <w:rPr>
          <w:sz w:val="20"/>
          <w:szCs w:val="20"/>
          <w:color w:val="auto"/>
        </w:rPr>
      </w:pPr>
    </w:p>
    <w:p>
      <w:pPr>
        <w:ind w:right="120"/>
        <w:spacing w:after="0" w:line="32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balance sheets of Rush Enterprises, Inc. and subsidiaries as of December 31, 2008 and 2007 and the related consolidated statements of income, shareholders’ equity, and cash flows for each of the three years in the period ended December 31, 2008 of Rush Enterprises, Inc. and subsidiaries and our report dated March 10, 2009 expressed an unqualified opinion thereon.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March 10,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and Executive Officers of the Registrant</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10 of Form 10-K is incorporated herein by reference to such information included in the Company’s Proxy Statement for the 2009 Annual Meeting of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Code of Ethics</w:t>
      </w:r>
    </w:p>
    <w:p>
      <w:pPr>
        <w:spacing w:after="0" w:line="209" w:lineRule="exact"/>
        <w:rPr>
          <w:sz w:val="20"/>
          <w:szCs w:val="20"/>
          <w:color w:val="auto"/>
        </w:rPr>
      </w:pPr>
    </w:p>
    <w:p>
      <w:pPr>
        <w:ind w:right="40" w:firstLine="589"/>
        <w:spacing w:after="0" w:line="289" w:lineRule="auto"/>
        <w:rPr>
          <w:sz w:val="20"/>
          <w:szCs w:val="20"/>
          <w:color w:val="auto"/>
        </w:rPr>
      </w:pPr>
      <w:r>
        <w:rPr>
          <w:rFonts w:ascii="Arial" w:cs="Arial" w:eastAsia="Arial" w:hAnsi="Arial"/>
          <w:sz w:val="15"/>
          <w:szCs w:val="15"/>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www.rushenterprises.com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as set forth above.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11 of Form 10-K is incorporated herein by reference to such information included in the Company’s Proxy Statement for the 2009 Annual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Shareholder Matters</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12 of Form 10-K is incorporated herein by reference to such information included in the Company’s Proxy Statement for the 2009 Annual Meeting of Shareholders.</w:t>
      </w:r>
    </w:p>
    <w:p>
      <w:pPr>
        <w:sectPr>
          <w:pgSz w:w="11900" w:h="16838" w:orient="portrait"/>
          <w:cols w:equalWidth="0" w:num="1">
            <w:col w:w="11420"/>
          </w:cols>
          <w:pgMar w:left="240" w:top="127" w:right="239" w:bottom="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Item 13. Certain Relationships and Related Transactions</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13 of Form 10-K is incorporated herein by reference to such information included in the Company’s Proxy Statement for the 2009 Annual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information called for by Item 14 of Form 10-K is incorporated herein by reference to such information included in the Company’s Proxy Statement for the 2009 Annual Meeting of Shareholders.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(a)(1) Financial Statements</w:t>
      </w:r>
    </w:p>
    <w:p>
      <w:pPr>
        <w:spacing w:after="0" w:line="213"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auto"/>
        </w:rPr>
        <w:t>Included in Item 8 of Part II of this annual report on Form 10-K are the following: Report of Independent Registered Public Accounting Firm; Consolidated Balance Sheets as of December 31, 2008 and 2007; Consolidated Statements of Income for the years ended December 31, 2008, 2007 and 2006; Consolidated Statements of Shareholders’ Equity for the years ended December 31, 2008, 2007 and 2006; Consolidated Statements of Cash Flows for the years ended December 31, 2008, 2007 and 2006; and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(a)(2) Financial Statement Schedules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These schedules are omitted as the required information is inapplicable or the information is presented in the consolidated financial statements or related notes.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(a)(3) Exhibits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Index to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0260" w:type="dxa"/>
            <w:vAlign w:val="bottom"/>
          </w:tcPr>
          <w:p>
            <w:pPr>
              <w:spacing w:after="0"/>
              <w:rPr>
                <w:sz w:val="12"/>
                <w:szCs w:val="12"/>
                <w:color w:val="auto"/>
              </w:rPr>
            </w:pPr>
          </w:p>
        </w:tc>
      </w:tr>
      <w:tr>
        <w:trPr>
          <w:trHeight w:val="155"/>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No.</w:t>
            </w:r>
          </w:p>
        </w:tc>
        <w:tc>
          <w:tcPr>
            <w:tcW w:w="10260" w:type="dxa"/>
            <w:vAlign w:val="bottom"/>
          </w:tcPr>
          <w:p>
            <w:pPr>
              <w:ind w:left="4460"/>
              <w:spacing w:after="0"/>
              <w:rPr>
                <w:sz w:val="20"/>
                <w:szCs w:val="20"/>
                <w:color w:val="auto"/>
              </w:rPr>
            </w:pPr>
            <w:r>
              <w:rPr>
                <w:rFonts w:ascii="Arial" w:cs="Arial" w:eastAsia="Arial" w:hAnsi="Arial"/>
                <w:sz w:val="13"/>
                <w:szCs w:val="13"/>
                <w:b w:val="1"/>
                <w:bCs w:val="1"/>
                <w:color w:val="auto"/>
              </w:rPr>
              <w:t>Identification of Exhibit</w:t>
            </w:r>
          </w:p>
        </w:tc>
      </w:tr>
      <w:tr>
        <w:trPr>
          <w:trHeight w:val="372"/>
        </w:trPr>
        <w:tc>
          <w:tcPr>
            <w:tcW w:w="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9"/>
              </w:rPr>
              <w:t>Restated Articles of Incorporation of Rush Enterprises, Inc. (incorporated herein by reference to Exhibit 3.1 of the Company’s Quarterly Report on</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Form 10-Q (File No. 000-20797) for the quarter ended June 30, 2008)</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4"/>
              </w:rPr>
              <w:t>Rush Enterprises, Inc. Amended and Restated Bylaws (incorporated herein by reference toExhibit 3.1 of the Company’s Current Report on Form 8-K (File</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No. 000-20797) filed December 9, 2008)</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7"/>
              </w:rPr>
              <w:t>Specimen of certificate representing Common Stock (now Class B Common Stock), $.01 par value, of Rush Enterprises, Inc. (incorporated herein by</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reference to Exhibit 4.1 of the Company’s Registration Statement No. 333-03346 on Form S-1 filed April 10, 1996)</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7"/>
              </w:rPr>
              <w:t>Specimen of certificate representing Class A Common Stock, $.01 par value, of the Registrant (incorporated herein by reference to Exhibit 4.1 of the</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Company’s Registration Statement onForm 8-A filed July 9, 2002)</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3"/>
              </w:rPr>
              <w:t>Right of First Refusal dated April 1, 1996 between Peterbilt Motors Company and W. Marvin Rush (incorporated herein by reference to Exhibit 10.76 of the</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4"/>
              </w:rPr>
              <w:t>Right of First Refusal dated April 1, 1996 between Peterbilt Motors Company and Barbara Rush (incorporated herein by reference to Exhibit 10.77 of the</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4"/>
              </w:rPr>
              <w:t>Right of First Refusal dated April 1, 1996 between Peterbilt Motors Company and W.M. “Rusty” Rush (incorporated herein by reference to Exhibit 10.78 of</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the Company’s Registration Statement No. 333-03346 on Form S-1 filed April 10, 1996)</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6"/>
              </w:rPr>
              <w:t>Right of First Refusal dated April 1, 1996 between Peterbilt Motors Company and Robin Rush (incorporated herein by reference to Exhibit 10.79 of the</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Company’s Registration Statement No. 333-03346 on Form S-1 filed April 10, 1996)</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4"/>
              </w:rPr>
              <w:t>Rush Enterprises, Inc. Long-Term Incentive Plan, as amended (incorporated herein by reference to Exhibit 4.1 of the Company’s Registration Statement</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No. 333-117305 on Form S-8 filed July 12, 2004)</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5"/>
              </w:rPr>
              <w:t>Form of Rush Enterprises, Inc. Long-Term Incentive Plan Stock Option Agreement (incorporated herein by reference to Exhibit 10.85 of the Company’s</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Registration Statement No. 333-03346 on Form S-1 filed April 10, 1996)</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2"/>
              </w:rPr>
              <w:t>Rush Enterprises, Inc. Amended and Restated 1997 Non-Employee Director Stock Option Plan, as amended (incorporated herein by reference to Exhibit 4.3</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of the Company’s Registration Statement No. 333-117305 on Form S-8 filed July 12, 2004)</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10.8+</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5"/>
              </w:rPr>
              <w:t>Form of Rush Enterprises, Inc. 1997 Non-Employee Director Stock Option Agreement (incorporated herein by reference to Exhibit 4.4 of the Company’s</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Registration Statement No. 333-117305 on Form S-8 filed July 12, 2004)</w:t>
            </w:r>
          </w:p>
        </w:tc>
      </w:tr>
      <w:tr>
        <w:trPr>
          <w:trHeight w:val="381"/>
        </w:trPr>
        <w:tc>
          <w:tcPr>
            <w:tcW w:w="860" w:type="dxa"/>
            <w:vAlign w:val="bottom"/>
          </w:tcPr>
          <w:p>
            <w:pPr>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w w:val="94"/>
              </w:rPr>
              <w:t>Rush Enterprises, Inc. 2004 Employee Stock Purchase Plan, as amended (incorporated herein by reference to Exhibit 4.1 of the Company’s Registration</w:t>
            </w:r>
          </w:p>
        </w:tc>
      </w:tr>
      <w:tr>
        <w:trPr>
          <w:trHeight w:val="208"/>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Statement No. 333-121355 on Form S-8 filed December 17, 2004)</w:t>
            </w:r>
          </w:p>
        </w:tc>
      </w:tr>
    </w:tbl>
    <w:p>
      <w:pPr>
        <w:spacing w:after="0" w:line="185" w:lineRule="exact"/>
        <w:rPr>
          <w:sz w:val="20"/>
          <w:szCs w:val="20"/>
          <w:color w:val="auto"/>
        </w:rPr>
      </w:pPr>
    </w:p>
    <w:p>
      <w:pPr>
        <w:sectPr>
          <w:pgSz w:w="11900" w:h="16838" w:orient="portrait"/>
          <w:cols w:equalWidth="0" w:num="1">
            <w:col w:w="11420"/>
          </w:cols>
          <w:pgMar w:left="240" w:top="123" w:right="239" w:bottom="0" w:gutter="0" w:footer="0" w:header="0"/>
        </w:sect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123" w:right="239" w:bottom="0" w:gutter="0" w:footer="0" w:header="0"/>
          <w:type w:val="continuous"/>
        </w:sectPr>
      </w:pPr>
    </w:p>
    <w:bookmarkStart w:id="44" w:name="page45"/>
    <w:bookmarkEnd w:id="44"/>
    <w:tbl>
      <w:tblPr>
        <w:tblLayout w:type="fixed"/>
        <w:tblInd w:w="2"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10300" w:type="dxa"/>
            <w:vAlign w:val="bottom"/>
          </w:tcPr>
          <w:p>
            <w:pPr>
              <w:spacing w:after="0"/>
              <w:rPr>
                <w:sz w:val="16"/>
                <w:szCs w:val="16"/>
                <w:color w:val="auto"/>
              </w:rPr>
            </w:pPr>
          </w:p>
        </w:tc>
      </w:tr>
      <w:tr>
        <w:trPr>
          <w:trHeight w:val="397"/>
        </w:trPr>
        <w:tc>
          <w:tcPr>
            <w:tcW w:w="1160" w:type="dxa"/>
            <w:vAlign w:val="bottom"/>
          </w:tcPr>
          <w:p>
            <w:pPr>
              <w:spacing w:after="0"/>
              <w:rPr>
                <w:sz w:val="20"/>
                <w:szCs w:val="20"/>
                <w:color w:val="auto"/>
              </w:rPr>
            </w:pPr>
            <w:r>
              <w:rPr>
                <w:rFonts w:ascii="Arial" w:cs="Arial" w:eastAsia="Arial" w:hAnsi="Arial"/>
                <w:sz w:val="16"/>
                <w:szCs w:val="16"/>
                <w:color w:val="auto"/>
              </w:rPr>
              <w:t>10.10+</w:t>
            </w:r>
          </w:p>
        </w:tc>
        <w:tc>
          <w:tcPr>
            <w:tcW w:w="10300" w:type="dxa"/>
            <w:vAlign w:val="bottom"/>
          </w:tcPr>
          <w:p>
            <w:pPr>
              <w:ind w:left="20"/>
              <w:spacing w:after="0"/>
              <w:rPr>
                <w:sz w:val="20"/>
                <w:szCs w:val="20"/>
                <w:color w:val="auto"/>
              </w:rPr>
            </w:pPr>
            <w:r>
              <w:rPr>
                <w:rFonts w:ascii="Arial" w:cs="Arial" w:eastAsia="Arial" w:hAnsi="Arial"/>
                <w:sz w:val="16"/>
                <w:szCs w:val="16"/>
                <w:color w:val="auto"/>
                <w:w w:val="93"/>
              </w:rPr>
              <w:t>Rush Enterprises, Inc. Amended and Restated 2006 Non-Employee Director Stock Plan (incorporated herein by reference to Appendix A of the Company’s</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Proxy Statement filed April 9, 2008)</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10.11+</w:t>
            </w:r>
          </w:p>
        </w:tc>
        <w:tc>
          <w:tcPr>
            <w:tcW w:w="10300" w:type="dxa"/>
            <w:vAlign w:val="bottom"/>
          </w:tcPr>
          <w:p>
            <w:pPr>
              <w:ind w:left="20"/>
              <w:spacing w:after="0"/>
              <w:rPr>
                <w:sz w:val="20"/>
                <w:szCs w:val="20"/>
                <w:color w:val="auto"/>
              </w:rPr>
            </w:pPr>
            <w:r>
              <w:rPr>
                <w:rFonts w:ascii="Arial" w:cs="Arial" w:eastAsia="Arial" w:hAnsi="Arial"/>
                <w:sz w:val="16"/>
                <w:szCs w:val="16"/>
                <w:color w:val="auto"/>
                <w:w w:val="95"/>
              </w:rPr>
              <w:t>Form of Rush Enterprises, Inc. 2006 Non-Employee Director Stock Option Agreement (incorporated herein by reference to Exhibit 4.4 of the Company’s</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Registration Statement No. 333-138556 on Form S-8 filed November 9, 2006)</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10.12+</w:t>
            </w:r>
          </w:p>
        </w:tc>
        <w:tc>
          <w:tcPr>
            <w:tcW w:w="10300" w:type="dxa"/>
            <w:vAlign w:val="bottom"/>
          </w:tcPr>
          <w:p>
            <w:pPr>
              <w:ind w:left="20"/>
              <w:spacing w:after="0"/>
              <w:rPr>
                <w:sz w:val="20"/>
                <w:szCs w:val="20"/>
                <w:color w:val="auto"/>
              </w:rPr>
            </w:pPr>
            <w:r>
              <w:rPr>
                <w:rFonts w:ascii="Arial" w:cs="Arial" w:eastAsia="Arial" w:hAnsi="Arial"/>
                <w:sz w:val="16"/>
                <w:szCs w:val="16"/>
                <w:color w:val="auto"/>
                <w:w w:val="95"/>
              </w:rPr>
              <w:t>Rush Enterprises, Inc. 2007 Long-Term Incentive Plan (incorporated herein by reference to Appendix A to the Company’s Proxy Statement filed April 17,</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2007)</w:t>
            </w:r>
          </w:p>
        </w:tc>
      </w:tr>
      <w:tr>
        <w:trPr>
          <w:trHeight w:val="393"/>
        </w:trPr>
        <w:tc>
          <w:tcPr>
            <w:tcW w:w="1160" w:type="dxa"/>
            <w:vAlign w:val="bottom"/>
          </w:tcPr>
          <w:p>
            <w:pPr>
              <w:spacing w:after="0"/>
              <w:rPr>
                <w:sz w:val="20"/>
                <w:szCs w:val="20"/>
                <w:color w:val="auto"/>
              </w:rPr>
            </w:pPr>
            <w:r>
              <w:rPr>
                <w:rFonts w:ascii="Arial" w:cs="Arial" w:eastAsia="Arial" w:hAnsi="Arial"/>
                <w:sz w:val="16"/>
                <w:szCs w:val="16"/>
                <w:color w:val="auto"/>
              </w:rPr>
              <w:t>10.13*+</w:t>
            </w:r>
          </w:p>
        </w:tc>
        <w:tc>
          <w:tcPr>
            <w:tcW w:w="10300" w:type="dxa"/>
            <w:vAlign w:val="bottom"/>
          </w:tcPr>
          <w:p>
            <w:pPr>
              <w:ind w:left="20"/>
              <w:spacing w:after="0"/>
              <w:rPr>
                <w:sz w:val="20"/>
                <w:szCs w:val="20"/>
                <w:color w:val="auto"/>
              </w:rPr>
            </w:pPr>
            <w:r>
              <w:rPr>
                <w:rFonts w:ascii="Arial" w:cs="Arial" w:eastAsia="Arial" w:hAnsi="Arial"/>
                <w:sz w:val="16"/>
                <w:szCs w:val="16"/>
                <w:color w:val="auto"/>
              </w:rPr>
              <w:t>Form of Rush Enterprises Inc. 2007 Long-Term Incentive Plan Restricted Stock Agreement</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10.14+</w:t>
            </w:r>
          </w:p>
        </w:tc>
        <w:tc>
          <w:tcPr>
            <w:tcW w:w="10300" w:type="dxa"/>
            <w:vAlign w:val="bottom"/>
          </w:tcPr>
          <w:p>
            <w:pPr>
              <w:ind w:left="20"/>
              <w:spacing w:after="0"/>
              <w:rPr>
                <w:sz w:val="20"/>
                <w:szCs w:val="20"/>
                <w:color w:val="auto"/>
              </w:rPr>
            </w:pPr>
            <w:r>
              <w:rPr>
                <w:rFonts w:ascii="Arial" w:cs="Arial" w:eastAsia="Arial" w:hAnsi="Arial"/>
                <w:sz w:val="16"/>
                <w:szCs w:val="16"/>
                <w:color w:val="auto"/>
                <w:w w:val="94"/>
              </w:rPr>
              <w:t>Form of Rush Enterprises Inc. 2007 Long-Term Incentive Plan Stock Option Agreement (incorporated herein by reference to Exhibit 4.4 of the Company’s</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Form S-8 (File No. 333-144821) filed July 24, 2007)</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10.15</w:t>
            </w:r>
          </w:p>
        </w:tc>
        <w:tc>
          <w:tcPr>
            <w:tcW w:w="10300" w:type="dxa"/>
            <w:vAlign w:val="bottom"/>
          </w:tcPr>
          <w:p>
            <w:pPr>
              <w:ind w:left="20"/>
              <w:spacing w:after="0"/>
              <w:rPr>
                <w:sz w:val="20"/>
                <w:szCs w:val="20"/>
                <w:color w:val="auto"/>
              </w:rPr>
            </w:pPr>
            <w:r>
              <w:rPr>
                <w:rFonts w:ascii="Arial" w:cs="Arial" w:eastAsia="Arial" w:hAnsi="Arial"/>
                <w:sz w:val="16"/>
                <w:szCs w:val="16"/>
                <w:color w:val="auto"/>
                <w:w w:val="93"/>
              </w:rPr>
              <w:t>Form of dealer agreement between Peterbilt Motors Company and Rush Truck Centers (incorporated herein by reference to Exhibit 10.18 of the Company’s</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Form 10-K (File No. 000-20797) for the year ended December 31, 1999)</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10.16</w:t>
            </w:r>
          </w:p>
        </w:tc>
        <w:tc>
          <w:tcPr>
            <w:tcW w:w="10300" w:type="dxa"/>
            <w:vAlign w:val="bottom"/>
          </w:tcPr>
          <w:p>
            <w:pPr>
              <w:ind w:left="20"/>
              <w:spacing w:after="0"/>
              <w:rPr>
                <w:sz w:val="20"/>
                <w:szCs w:val="20"/>
                <w:color w:val="auto"/>
              </w:rPr>
            </w:pPr>
            <w:r>
              <w:rPr>
                <w:rFonts w:ascii="Arial" w:cs="Arial" w:eastAsia="Arial" w:hAnsi="Arial"/>
                <w:sz w:val="16"/>
                <w:szCs w:val="16"/>
                <w:color w:val="auto"/>
                <w:w w:val="95"/>
              </w:rPr>
              <w:t>Amended Restated Wholesale Security Agreement, dated August 15, 2007, by and among Rush Truck Centers of Alabama, Inc., Rush Truck Centers of</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7"/>
              </w:rPr>
              <w:t>Arizona, Inc., Rush Truck Centers of California, Inc., Rush Medium Duty Truck Centers of Colorado, Inc., Rush Truck Centers of Colorado, Inc., Rush</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3"/>
              </w:rPr>
              <w:t>Truck Centers of Florida, Inc., Rush Truck Centers of Georgia, Inc., Rush Truck Centers of New Mexico, Inc., Rush Truck Centers of Oklahoma, Inc., Rush</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Truck Centers of Tennessee, Inc., and Rush Truck Centers of Texas, L.P., Rush GMC Truck Center of El Paso, Inc., Rush GMC Truck Center of</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3"/>
              </w:rPr>
              <w:t>Phoenix, Inc., Rush GMC Truck Center of San Diego, Inc., Rush GMC Truck Center of Tucson, Inc. and General Electric Capital Corporation (incorporated</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herein by reference to Exhibit 10.1 of the Company’s Current Report on Form 8-K (File No. 000-20797) filed August 20, 2007)</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10.17</w:t>
            </w:r>
          </w:p>
        </w:tc>
        <w:tc>
          <w:tcPr>
            <w:tcW w:w="10300" w:type="dxa"/>
            <w:vAlign w:val="bottom"/>
          </w:tcPr>
          <w:p>
            <w:pPr>
              <w:ind w:left="20"/>
              <w:spacing w:after="0"/>
              <w:rPr>
                <w:sz w:val="20"/>
                <w:szCs w:val="20"/>
                <w:color w:val="auto"/>
              </w:rPr>
            </w:pPr>
            <w:r>
              <w:rPr>
                <w:rFonts w:ascii="Arial" w:cs="Arial" w:eastAsia="Arial" w:hAnsi="Arial"/>
                <w:sz w:val="16"/>
                <w:szCs w:val="16"/>
                <w:color w:val="auto"/>
                <w:w w:val="94"/>
              </w:rPr>
              <w:t>First Amendment to Amended and Restated Wholesale Security Agreement, dated October 3, 2007, by and among Rush Truck Centers of Alabama, Inc.,</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5"/>
              </w:rPr>
              <w:t>Rush Truck Centers of Arizona, Inc., Rush Truck Centers of California, Inc., Rush Medium Duty Truck Centers of Colorado, Inc., Rush Truck Centers of</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4"/>
              </w:rPr>
              <w:t>Colorado, Inc., Rush Truck Centers of Florida, Inc., Rush Truck Centers of Georgia, Inc., Rush Truck Centers of New Mexico, Inc., Rush Truck Centers of</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2"/>
              </w:rPr>
              <w:t>Oklahoma, Inc., Rush Truck Centers of Tennessee, Inc., and Rush Truck Centers of Texas, L.P., Rush GMC Truck Center of El Paso, Inc., Rush GMC Truck</w:t>
            </w:r>
          </w:p>
        </w:tc>
      </w:tr>
      <w:tr>
        <w:trPr>
          <w:trHeight w:val="196"/>
        </w:trPr>
        <w:tc>
          <w:tcPr>
            <w:tcW w:w="1160" w:type="dxa"/>
            <w:vAlign w:val="bottom"/>
          </w:tcPr>
          <w:p>
            <w:pPr>
              <w:spacing w:after="0"/>
              <w:rPr>
                <w:sz w:val="17"/>
                <w:szCs w:val="17"/>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w w:val="96"/>
              </w:rPr>
              <w:t>Center of Phoenix, Inc., Rush GMC Truck Center of San Diego, Inc., Rush GMC Truck Center of Tucson, Inc. and General Electric Capital Corporation</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(incorporated herein by reference to Exhibit 10.2 of the Company’s Current Report on Form 8-K (File No. 000-20797) filed October 3, 2007 )</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10.18+</w:t>
            </w:r>
          </w:p>
        </w:tc>
        <w:tc>
          <w:tcPr>
            <w:tcW w:w="10300" w:type="dxa"/>
            <w:vAlign w:val="bottom"/>
          </w:tcPr>
          <w:p>
            <w:pPr>
              <w:ind w:left="20"/>
              <w:spacing w:after="0"/>
              <w:rPr>
                <w:sz w:val="20"/>
                <w:szCs w:val="20"/>
                <w:color w:val="auto"/>
              </w:rPr>
            </w:pPr>
            <w:r>
              <w:rPr>
                <w:rFonts w:ascii="Arial" w:cs="Arial" w:eastAsia="Arial" w:hAnsi="Arial"/>
                <w:sz w:val="16"/>
                <w:szCs w:val="16"/>
                <w:color w:val="auto"/>
                <w:w w:val="95"/>
              </w:rPr>
              <w:t>Form of Indemnity Agreement (incorporated herein by reference to Exhibit 10.1 of the Company’s Current Report on Form 8-K (File No. 000-20797) filed</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February 27, 2007)</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10.19+</w:t>
            </w:r>
          </w:p>
        </w:tc>
        <w:tc>
          <w:tcPr>
            <w:tcW w:w="10300" w:type="dxa"/>
            <w:vAlign w:val="bottom"/>
          </w:tcPr>
          <w:p>
            <w:pPr>
              <w:ind w:left="20"/>
              <w:spacing w:after="0"/>
              <w:rPr>
                <w:sz w:val="20"/>
                <w:szCs w:val="20"/>
                <w:color w:val="auto"/>
              </w:rPr>
            </w:pPr>
            <w:r>
              <w:rPr>
                <w:rFonts w:ascii="Arial" w:cs="Arial" w:eastAsia="Arial" w:hAnsi="Arial"/>
                <w:sz w:val="16"/>
                <w:szCs w:val="16"/>
                <w:color w:val="auto"/>
                <w:w w:val="97"/>
              </w:rPr>
              <w:t>Rush Enterprises, Inc. Executive Transition Plan (incorporated herein by reference to Exhibit 10.1 of the Company’s Current Report on Form 8-K (File</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No. 000-20797) filed July 25, 2008)</w:t>
            </w:r>
          </w:p>
        </w:tc>
      </w:tr>
      <w:tr>
        <w:trPr>
          <w:trHeight w:val="393"/>
        </w:trPr>
        <w:tc>
          <w:tcPr>
            <w:tcW w:w="1160" w:type="dxa"/>
            <w:vAlign w:val="bottom"/>
          </w:tcPr>
          <w:p>
            <w:pPr>
              <w:spacing w:after="0"/>
              <w:rPr>
                <w:sz w:val="20"/>
                <w:szCs w:val="20"/>
                <w:color w:val="auto"/>
              </w:rPr>
            </w:pPr>
            <w:r>
              <w:rPr>
                <w:rFonts w:ascii="Arial" w:cs="Arial" w:eastAsia="Arial" w:hAnsi="Arial"/>
                <w:sz w:val="16"/>
                <w:szCs w:val="16"/>
                <w:color w:val="auto"/>
              </w:rPr>
              <w:t>21.1*</w:t>
            </w:r>
          </w:p>
        </w:tc>
        <w:tc>
          <w:tcPr>
            <w:tcW w:w="10300" w:type="dxa"/>
            <w:vAlign w:val="bottom"/>
          </w:tcPr>
          <w:p>
            <w:pPr>
              <w:ind w:left="20"/>
              <w:spacing w:after="0"/>
              <w:rPr>
                <w:sz w:val="20"/>
                <w:szCs w:val="20"/>
                <w:color w:val="auto"/>
              </w:rPr>
            </w:pPr>
            <w:r>
              <w:rPr>
                <w:rFonts w:ascii="Arial" w:cs="Arial" w:eastAsia="Arial" w:hAnsi="Arial"/>
                <w:sz w:val="16"/>
                <w:szCs w:val="16"/>
                <w:color w:val="auto"/>
              </w:rPr>
              <w:t>Subsidiaries of the Company</w:t>
            </w:r>
          </w:p>
        </w:tc>
      </w:tr>
      <w:tr>
        <w:trPr>
          <w:trHeight w:val="393"/>
        </w:trPr>
        <w:tc>
          <w:tcPr>
            <w:tcW w:w="1160" w:type="dxa"/>
            <w:vAlign w:val="bottom"/>
          </w:tcPr>
          <w:p>
            <w:pPr>
              <w:spacing w:after="0"/>
              <w:rPr>
                <w:sz w:val="20"/>
                <w:szCs w:val="20"/>
                <w:color w:val="auto"/>
              </w:rPr>
            </w:pPr>
            <w:r>
              <w:rPr>
                <w:rFonts w:ascii="Arial" w:cs="Arial" w:eastAsia="Arial" w:hAnsi="Arial"/>
                <w:sz w:val="16"/>
                <w:szCs w:val="16"/>
                <w:color w:val="auto"/>
              </w:rPr>
              <w:t>23.1*</w:t>
            </w:r>
          </w:p>
        </w:tc>
        <w:tc>
          <w:tcPr>
            <w:tcW w:w="10300" w:type="dxa"/>
            <w:vAlign w:val="bottom"/>
          </w:tcPr>
          <w:p>
            <w:pPr>
              <w:ind w:left="20"/>
              <w:spacing w:after="0"/>
              <w:rPr>
                <w:sz w:val="20"/>
                <w:szCs w:val="20"/>
                <w:color w:val="auto"/>
              </w:rPr>
            </w:pPr>
            <w:r>
              <w:rPr>
                <w:rFonts w:ascii="Arial" w:cs="Arial" w:eastAsia="Arial" w:hAnsi="Arial"/>
                <w:sz w:val="16"/>
                <w:szCs w:val="16"/>
                <w:color w:val="auto"/>
              </w:rPr>
              <w:t>Consent of Ernst &amp; Young LLP</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10300" w:type="dxa"/>
            <w:vAlign w:val="bottom"/>
          </w:tcPr>
          <w:p>
            <w:pPr>
              <w:ind w:left="20"/>
              <w:spacing w:after="0"/>
              <w:rPr>
                <w:sz w:val="20"/>
                <w:szCs w:val="20"/>
                <w:color w:val="auto"/>
              </w:rPr>
            </w:pPr>
            <w:r>
              <w:rPr>
                <w:rFonts w:ascii="Arial" w:cs="Arial" w:eastAsia="Arial" w:hAnsi="Arial"/>
                <w:sz w:val="16"/>
                <w:szCs w:val="16"/>
                <w:color w:val="auto"/>
                <w:w w:val="96"/>
              </w:rPr>
              <w:t>Certification of Chairman and Chief Executive Officer pursuant to Rules 13a-14(a) and 15d-14(a), as adopted pursuant to Section 302 of the Sarbanes-</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Oxley Act of 2002</w:t>
            </w:r>
          </w:p>
        </w:tc>
      </w:tr>
      <w:tr>
        <w:trPr>
          <w:trHeight w:val="381"/>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10300" w:type="dxa"/>
            <w:vAlign w:val="bottom"/>
          </w:tcPr>
          <w:p>
            <w:pPr>
              <w:ind w:left="20"/>
              <w:spacing w:after="0"/>
              <w:rPr>
                <w:sz w:val="20"/>
                <w:szCs w:val="20"/>
                <w:color w:val="auto"/>
              </w:rPr>
            </w:pPr>
            <w:r>
              <w:rPr>
                <w:rFonts w:ascii="Arial" w:cs="Arial" w:eastAsia="Arial" w:hAnsi="Arial"/>
                <w:sz w:val="16"/>
                <w:szCs w:val="16"/>
                <w:color w:val="auto"/>
                <w:w w:val="96"/>
              </w:rPr>
              <w:t>Certification of Senior Vice President and Chief Financial Officer pursuant to Rules 13a-14(a) and 15d-14(a), as adopted pursuant to Section 302 of the</w:t>
            </w:r>
          </w:p>
        </w:tc>
      </w:tr>
      <w:tr>
        <w:trPr>
          <w:trHeight w:val="208"/>
        </w:trPr>
        <w:tc>
          <w:tcPr>
            <w:tcW w:w="1160" w:type="dxa"/>
            <w:vAlign w:val="bottom"/>
          </w:tcPr>
          <w:p>
            <w:pPr>
              <w:spacing w:after="0"/>
              <w:rPr>
                <w:sz w:val="18"/>
                <w:szCs w:val="18"/>
                <w:color w:val="auto"/>
              </w:rPr>
            </w:pPr>
          </w:p>
        </w:tc>
        <w:tc>
          <w:tcPr>
            <w:tcW w:w="10300" w:type="dxa"/>
            <w:vAlign w:val="bottom"/>
          </w:tcPr>
          <w:p>
            <w:pPr>
              <w:ind w:left="20"/>
              <w:spacing w:after="0"/>
              <w:rPr>
                <w:sz w:val="20"/>
                <w:szCs w:val="20"/>
                <w:color w:val="auto"/>
              </w:rPr>
            </w:pPr>
            <w:r>
              <w:rPr>
                <w:rFonts w:ascii="Arial" w:cs="Arial" w:eastAsia="Arial" w:hAnsi="Arial"/>
                <w:sz w:val="16"/>
                <w:szCs w:val="16"/>
                <w:color w:val="auto"/>
              </w:rPr>
              <w:t>Sarbanes-Oxley Act of 2002</w:t>
            </w:r>
          </w:p>
        </w:tc>
      </w:tr>
      <w:tr>
        <w:trPr>
          <w:trHeight w:val="393"/>
        </w:trPr>
        <w:tc>
          <w:tcPr>
            <w:tcW w:w="1160" w:type="dxa"/>
            <w:vAlign w:val="bottom"/>
          </w:tcPr>
          <w:p>
            <w:pPr>
              <w:spacing w:after="0"/>
              <w:rPr>
                <w:sz w:val="24"/>
                <w:szCs w:val="24"/>
                <w:color w:val="auto"/>
              </w:rPr>
            </w:pPr>
          </w:p>
        </w:tc>
        <w:tc>
          <w:tcPr>
            <w:tcW w:w="10300" w:type="dxa"/>
            <w:vAlign w:val="bottom"/>
          </w:tcPr>
          <w:p>
            <w:pPr>
              <w:ind w:left="4480"/>
              <w:spacing w:after="0"/>
              <w:rPr>
                <w:sz w:val="20"/>
                <w:szCs w:val="20"/>
                <w:color w:val="auto"/>
              </w:rPr>
            </w:pPr>
            <w:r>
              <w:rPr>
                <w:rFonts w:ascii="Arial" w:cs="Arial" w:eastAsia="Arial" w:hAnsi="Arial"/>
                <w:sz w:val="16"/>
                <w:szCs w:val="16"/>
                <w:color w:val="auto"/>
              </w:rPr>
              <w:t>75</w:t>
            </w:r>
          </w:p>
        </w:tc>
      </w:tr>
      <w:tr>
        <w:trPr>
          <w:trHeight w:val="120"/>
        </w:trPr>
        <w:tc>
          <w:tcPr>
            <w:tcW w:w="1160" w:type="dxa"/>
            <w:vAlign w:val="bottom"/>
            <w:tcBorders>
              <w:bottom w:val="single" w:sz="8" w:color="010101"/>
            </w:tcBorders>
          </w:tcPr>
          <w:p>
            <w:pPr>
              <w:spacing w:after="0"/>
              <w:rPr>
                <w:sz w:val="10"/>
                <w:szCs w:val="10"/>
                <w:color w:val="auto"/>
              </w:rPr>
            </w:pPr>
          </w:p>
        </w:tc>
        <w:tc>
          <w:tcPr>
            <w:tcW w:w="10300" w:type="dxa"/>
            <w:vAlign w:val="bottom"/>
            <w:tcBorders>
              <w:bottom w:val="single" w:sz="8" w:color="010101"/>
            </w:tcBorders>
          </w:tcPr>
          <w:p>
            <w:pPr>
              <w:spacing w:after="0"/>
              <w:rPr>
                <w:sz w:val="10"/>
                <w:szCs w:val="10"/>
                <w:color w:val="auto"/>
              </w:rPr>
            </w:pPr>
          </w:p>
        </w:tc>
      </w:tr>
      <w:tr>
        <w:trPr>
          <w:trHeight w:val="475"/>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10300" w:type="dxa"/>
            <w:vAlign w:val="bottom"/>
          </w:tcPr>
          <w:p>
            <w:pPr>
              <w:spacing w:after="0"/>
              <w:rPr>
                <w:sz w:val="24"/>
                <w:szCs w:val="24"/>
                <w:color w:val="auto"/>
              </w:rPr>
            </w:pPr>
          </w:p>
        </w:tc>
      </w:tr>
      <w:tr>
        <w:trPr>
          <w:trHeight w:val="408"/>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10300" w:type="dxa"/>
            <w:vAlign w:val="bottom"/>
          </w:tcPr>
          <w:p>
            <w:pPr>
              <w:ind w:left="2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r>
        <w:trPr>
          <w:trHeight w:val="393"/>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300" w:type="dxa"/>
            <w:vAlign w:val="bottom"/>
          </w:tcPr>
          <w:p>
            <w:pPr>
              <w:ind w:left="2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9640" cy="26035"/>
                    </a:xfrm>
                    <a:prstGeom prst="rect">
                      <a:avLst/>
                    </a:prstGeom>
                    <a:noFill/>
                  </pic:spPr>
                </pic:pic>
              </a:graphicData>
            </a:graphic>
          </wp:anchor>
        </w:drawing>
        <w:drawing>
          <wp:anchor simplePos="0" relativeHeight="251657728" behindDoc="1" locked="0" layoutInCell="0" allowOverlap="1">
            <wp:simplePos x="0" y="0"/>
            <wp:positionH relativeFrom="column">
              <wp:posOffset>7264400</wp:posOffset>
            </wp:positionH>
            <wp:positionV relativeFrom="paragraph">
              <wp:posOffset>-850265</wp:posOffset>
            </wp:positionV>
            <wp:extent cx="12700" cy="28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-850265</wp:posOffset>
            </wp:positionV>
            <wp:extent cx="12700"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183007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177" w:lineRule="exact"/>
        <w:rPr>
          <w:sz w:val="20"/>
          <w:szCs w:val="20"/>
          <w:color w:val="auto"/>
        </w:rPr>
      </w:pPr>
    </w:p>
    <w:p>
      <w:pPr>
        <w:ind w:left="662" w:hanging="662"/>
        <w:spacing w:after="0"/>
        <w:tabs>
          <w:tab w:leader="none" w:pos="6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9" w:lineRule="exact"/>
        <w:rPr>
          <w:sz w:val="20"/>
          <w:szCs w:val="20"/>
          <w:color w:val="auto"/>
        </w:rPr>
      </w:pPr>
    </w:p>
    <w:p>
      <w:pPr>
        <w:ind w:left="662" w:hanging="662"/>
        <w:spacing w:after="0"/>
        <w:tabs>
          <w:tab w:leader="none" w:pos="6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9" w:lineRule="exact"/>
        <w:rPr>
          <w:sz w:val="20"/>
          <w:szCs w:val="20"/>
          <w:color w:val="auto"/>
        </w:rPr>
      </w:pPr>
    </w:p>
    <w:p>
      <w:pPr>
        <w:ind w:left="582" w:right="220" w:hanging="582"/>
        <w:spacing w:after="0" w:line="322" w:lineRule="auto"/>
        <w:tabs>
          <w:tab w:leader="none" w:pos="595"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26"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left="2" w:right="240" w:firstLine="589"/>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4702" w:type="dxa"/>
        <w:tblCellMar>
          <w:top w:w="0" w:type="dxa"/>
          <w:left w:w="0" w:type="dxa"/>
          <w:bottom w:w="0" w:type="dxa"/>
          <w:right w:w="0" w:type="dxa"/>
        </w:tblCellMar>
      </w:tblPr>
      <w:tr>
        <w:trPr>
          <w:trHeight w:val="208"/>
        </w:trPr>
        <w:tc>
          <w:tcPr>
            <w:tcW w:w="4060" w:type="dxa"/>
            <w:vAlign w:val="bottom"/>
            <w:gridSpan w:val="2"/>
          </w:tcPr>
          <w:p>
            <w:pPr>
              <w:spacing w:after="0"/>
              <w:rPr>
                <w:sz w:val="20"/>
                <w:szCs w:val="20"/>
                <w:color w:val="auto"/>
              </w:rPr>
            </w:pPr>
            <w:r>
              <w:rPr>
                <w:rFonts w:ascii="Arial" w:cs="Arial" w:eastAsia="Arial" w:hAnsi="Arial"/>
                <w:sz w:val="16"/>
                <w:szCs w:val="16"/>
                <w:color w:val="auto"/>
              </w:rPr>
              <w:t>RUSH ENTERPRISES, INC.</w:t>
            </w:r>
          </w:p>
        </w:tc>
        <w:tc>
          <w:tcPr>
            <w:tcW w:w="1680" w:type="dxa"/>
            <w:vAlign w:val="bottom"/>
          </w:tcPr>
          <w:p>
            <w:pPr>
              <w:spacing w:after="0"/>
              <w:rPr>
                <w:sz w:val="18"/>
                <w:szCs w:val="18"/>
                <w:color w:val="auto"/>
              </w:rPr>
            </w:pPr>
          </w:p>
        </w:tc>
      </w:tr>
      <w:tr>
        <w:trPr>
          <w:trHeight w:val="393"/>
        </w:trPr>
        <w:tc>
          <w:tcPr>
            <w:tcW w:w="4060" w:type="dxa"/>
            <w:vAlign w:val="bottom"/>
            <w:gridSpan w:val="2"/>
          </w:tcPr>
          <w:p>
            <w:pPr>
              <w:spacing w:after="0"/>
              <w:rPr>
                <w:sz w:val="20"/>
                <w:szCs w:val="20"/>
                <w:color w:val="auto"/>
              </w:rPr>
            </w:pPr>
            <w:r>
              <w:rPr>
                <w:rFonts w:ascii="Arial" w:cs="Arial" w:eastAsia="Arial" w:hAnsi="Arial"/>
                <w:sz w:val="16"/>
                <w:szCs w:val="16"/>
                <w:color w:val="auto"/>
              </w:rPr>
              <w:t>By:   /s/ W. M.”RUSTY” RUSH</w:t>
            </w:r>
          </w:p>
        </w:tc>
        <w:tc>
          <w:tcPr>
            <w:tcW w:w="1680" w:type="dxa"/>
            <w:vAlign w:val="bottom"/>
          </w:tcPr>
          <w:p>
            <w:pPr>
              <w:ind w:left="260"/>
              <w:spacing w:after="0"/>
              <w:rPr>
                <w:sz w:val="20"/>
                <w:szCs w:val="20"/>
                <w:color w:val="auto"/>
              </w:rPr>
            </w:pPr>
            <w:r>
              <w:rPr>
                <w:rFonts w:ascii="Arial" w:cs="Arial" w:eastAsia="Arial" w:hAnsi="Arial"/>
                <w:sz w:val="16"/>
                <w:szCs w:val="16"/>
                <w:color w:val="auto"/>
                <w:w w:val="90"/>
              </w:rPr>
              <w:t>Date: March 13, 2009</w:t>
            </w:r>
          </w:p>
        </w:tc>
      </w:tr>
      <w:tr>
        <w:trPr>
          <w:trHeight w:val="177"/>
        </w:trPr>
        <w:tc>
          <w:tcPr>
            <w:tcW w:w="500" w:type="dxa"/>
            <w:vAlign w:val="bottom"/>
          </w:tcPr>
          <w:p>
            <w:pPr>
              <w:spacing w:after="0"/>
              <w:rPr>
                <w:sz w:val="15"/>
                <w:szCs w:val="15"/>
                <w:color w:val="auto"/>
              </w:rPr>
            </w:pPr>
          </w:p>
        </w:tc>
        <w:tc>
          <w:tcPr>
            <w:tcW w:w="356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6"/>
                <w:szCs w:val="16"/>
                <w:color w:val="auto"/>
              </w:rPr>
              <w:t>W. M. “Rusty” Rush</w:t>
            </w:r>
          </w:p>
        </w:tc>
        <w:tc>
          <w:tcPr>
            <w:tcW w:w="1680" w:type="dxa"/>
            <w:vAlign w:val="bottom"/>
          </w:tcPr>
          <w:p>
            <w:pPr>
              <w:spacing w:after="0"/>
              <w:rPr>
                <w:sz w:val="15"/>
                <w:szCs w:val="15"/>
                <w:color w:val="auto"/>
              </w:rPr>
            </w:pPr>
          </w:p>
        </w:tc>
      </w:tr>
      <w:tr>
        <w:trPr>
          <w:trHeight w:val="208"/>
        </w:trPr>
        <w:tc>
          <w:tcPr>
            <w:tcW w:w="50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c>
          <w:tcPr>
            <w:tcW w:w="1680" w:type="dxa"/>
            <w:vAlign w:val="bottom"/>
          </w:tcPr>
          <w:p>
            <w:pPr>
              <w:spacing w:after="0"/>
              <w:rPr>
                <w:sz w:val="18"/>
                <w:szCs w:val="18"/>
                <w:color w:val="auto"/>
              </w:rPr>
            </w:pPr>
          </w:p>
        </w:tc>
      </w:tr>
    </w:tbl>
    <w:p>
      <w:pPr>
        <w:sectPr>
          <w:pgSz w:w="11900" w:h="16838" w:orient="portrait"/>
          <w:cols w:equalWidth="0" w:num="1">
            <w:col w:w="11462"/>
          </w:cols>
          <w:pgMar w:left="238" w:top="471" w:right="199" w:bottom="0" w:gutter="0" w:footer="0" w:header="0"/>
        </w:sectPr>
      </w:pPr>
    </w:p>
    <w:bookmarkStart w:id="45" w:name="page46"/>
    <w:bookmarkEnd w:id="45"/>
    <w:p>
      <w:pPr>
        <w:ind w:right="40" w:firstLine="589"/>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on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2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Signature</w:t>
            </w:r>
          </w:p>
        </w:tc>
        <w:tc>
          <w:tcPr>
            <w:tcW w:w="520" w:type="dxa"/>
            <w:vAlign w:val="bottom"/>
          </w:tcPr>
          <w:p>
            <w:pPr>
              <w:spacing w:after="0"/>
              <w:rPr>
                <w:sz w:val="13"/>
                <w:szCs w:val="13"/>
                <w:color w:val="auto"/>
              </w:rPr>
            </w:pPr>
          </w:p>
        </w:tc>
        <w:tc>
          <w:tcPr>
            <w:tcW w:w="428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Capacity</w:t>
            </w:r>
          </w:p>
        </w:tc>
        <w:tc>
          <w:tcPr>
            <w:tcW w:w="520" w:type="dxa"/>
            <w:vAlign w:val="bottom"/>
          </w:tcPr>
          <w:p>
            <w:pPr>
              <w:spacing w:after="0"/>
              <w:rPr>
                <w:sz w:val="13"/>
                <w:szCs w:val="13"/>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Date</w:t>
            </w:r>
          </w:p>
        </w:tc>
        <w:tc>
          <w:tcPr>
            <w:tcW w:w="40" w:type="dxa"/>
            <w:vAlign w:val="bottom"/>
          </w:tcPr>
          <w:p>
            <w:pPr>
              <w:spacing w:after="0"/>
              <w:rPr>
                <w:sz w:val="13"/>
                <w:szCs w:val="13"/>
                <w:color w:val="auto"/>
              </w:rPr>
            </w:pPr>
          </w:p>
        </w:tc>
      </w:tr>
      <w:tr>
        <w:trPr>
          <w:trHeight w:val="384"/>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 MARVIN RUSH</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Chairman of the Board and Director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W. Marvin Rush</w:t>
            </w: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0"/>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 M. “RUSTY” RUSH</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President and Chief Executive Officer,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6"/>
                <w:szCs w:val="16"/>
                <w:color w:val="auto"/>
              </w:rPr>
              <w:t>W. M. “Rusty” Rush</w:t>
            </w:r>
          </w:p>
        </w:tc>
        <w:tc>
          <w:tcPr>
            <w:tcW w:w="5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Director (Principal Executive Officer)</w:t>
            </w: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0"/>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L. KELLER</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Vice President and</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177"/>
        </w:trPr>
        <w:tc>
          <w:tcPr>
            <w:tcW w:w="4620" w:type="dxa"/>
            <w:vAlign w:val="bottom"/>
          </w:tcPr>
          <w:p>
            <w:pPr>
              <w:spacing w:after="0" w:line="178" w:lineRule="exact"/>
              <w:rPr>
                <w:sz w:val="20"/>
                <w:szCs w:val="20"/>
                <w:color w:val="auto"/>
              </w:rPr>
            </w:pPr>
            <w:r>
              <w:rPr>
                <w:rFonts w:ascii="Arial" w:cs="Arial" w:eastAsia="Arial" w:hAnsi="Arial"/>
                <w:sz w:val="16"/>
                <w:szCs w:val="16"/>
                <w:color w:val="auto"/>
              </w:rPr>
              <w:t>Steven L. Keller</w:t>
            </w:r>
          </w:p>
        </w:tc>
        <w:tc>
          <w:tcPr>
            <w:tcW w:w="520" w:type="dxa"/>
            <w:vAlign w:val="bottom"/>
          </w:tcPr>
          <w:p>
            <w:pPr>
              <w:spacing w:after="0"/>
              <w:rPr>
                <w:sz w:val="15"/>
                <w:szCs w:val="15"/>
                <w:color w:val="auto"/>
              </w:rPr>
            </w:pPr>
          </w:p>
        </w:tc>
        <w:tc>
          <w:tcPr>
            <w:tcW w:w="480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Chief Financial Officer</w:t>
            </w: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4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(Principal Financial Accounting Officer)</w:t>
            </w: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3"/>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A. AKIN</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Thomas A. Akin</w:t>
            </w: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1"/>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RONALD J. KRAUSE</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Ronald J. Krause</w:t>
            </w: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1"/>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HAROLD D. MARSHALL</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Harold D. Marshall</w:t>
            </w: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1"/>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JAMES C. UNDERWOOD</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James C. Underwood</w:t>
            </w: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1"/>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GERALD R. SZCZEPANSKI</w:t>
            </w:r>
          </w:p>
        </w:tc>
        <w:tc>
          <w:tcPr>
            <w:tcW w:w="5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48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Gerald R. Szczepanski</w:t>
            </w:r>
          </w:p>
        </w:tc>
        <w:tc>
          <w:tcPr>
            <w:tcW w:w="5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0"/>
        </w:trPr>
        <w:tc>
          <w:tcPr>
            <w:tcW w:w="4620" w:type="dxa"/>
            <w:vAlign w:val="bottom"/>
          </w:tcPr>
          <w:p>
            <w:pPr>
              <w:spacing w:after="0"/>
              <w:rPr>
                <w:sz w:val="24"/>
                <w:szCs w:val="24"/>
                <w:color w:val="auto"/>
              </w:rPr>
            </w:pPr>
          </w:p>
        </w:tc>
        <w:tc>
          <w:tcPr>
            <w:tcW w:w="4800" w:type="dxa"/>
            <w:vAlign w:val="bottom"/>
            <w:gridSpan w:val="2"/>
          </w:tcPr>
          <w:p>
            <w:pPr>
              <w:jc w:val="right"/>
              <w:ind w:right="3540"/>
              <w:spacing w:after="0"/>
              <w:rPr>
                <w:sz w:val="20"/>
                <w:szCs w:val="20"/>
                <w:color w:val="auto"/>
              </w:rPr>
            </w:pPr>
            <w:r>
              <w:rPr>
                <w:rFonts w:ascii="Arial" w:cs="Arial" w:eastAsia="Arial" w:hAnsi="Arial"/>
                <w:sz w:val="16"/>
                <w:szCs w:val="16"/>
                <w:color w:val="auto"/>
              </w:rPr>
              <w:t>77</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4620" w:type="dxa"/>
            <w:vAlign w:val="bottom"/>
            <w:tcBorders>
              <w:bottom w:val="single" w:sz="8" w:color="010101"/>
            </w:tcBorders>
          </w:tcPr>
          <w:p>
            <w:pPr>
              <w:spacing w:after="0"/>
              <w:rPr>
                <w:sz w:val="10"/>
                <w:szCs w:val="10"/>
                <w:color w:val="auto"/>
              </w:rPr>
            </w:pPr>
          </w:p>
        </w:tc>
        <w:tc>
          <w:tcPr>
            <w:tcW w:w="520" w:type="dxa"/>
            <w:vAlign w:val="bottom"/>
            <w:tcBorders>
              <w:bottom w:val="single" w:sz="8" w:color="010101"/>
            </w:tcBorders>
          </w:tcPr>
          <w:p>
            <w:pPr>
              <w:spacing w:after="0"/>
              <w:rPr>
                <w:sz w:val="10"/>
                <w:szCs w:val="10"/>
                <w:color w:val="auto"/>
              </w:rPr>
            </w:pPr>
          </w:p>
        </w:tc>
        <w:tc>
          <w:tcPr>
            <w:tcW w:w="4280" w:type="dxa"/>
            <w:vAlign w:val="bottom"/>
            <w:tcBorders>
              <w:bottom w:val="single" w:sz="8" w:color="010101"/>
            </w:tcBorders>
          </w:tcPr>
          <w:p>
            <w:pPr>
              <w:spacing w:after="0"/>
              <w:rPr>
                <w:sz w:val="10"/>
                <w:szCs w:val="10"/>
                <w:color w:val="auto"/>
              </w:rPr>
            </w:pPr>
          </w:p>
        </w:tc>
        <w:tc>
          <w:tcPr>
            <w:tcW w:w="52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10.13</w:t>
      </w:r>
    </w:p>
    <w:p>
      <w:pPr>
        <w:spacing w:after="0" w:line="209"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RUSH ENTERPRISES, INC.</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2007 LONG-TERM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EMPLOYEES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(Time Vesting - Graded)</w:t>
      </w:r>
    </w:p>
    <w:p>
      <w:pPr>
        <w:spacing w:after="0" w:line="193" w:lineRule="exact"/>
        <w:rPr>
          <w:sz w:val="20"/>
          <w:szCs w:val="20"/>
          <w:color w:val="auto"/>
        </w:rPr>
      </w:pPr>
    </w:p>
    <w:p>
      <w:pPr>
        <w:ind w:left="2240" w:right="320" w:hanging="1658"/>
        <w:spacing w:after="0" w:line="292" w:lineRule="auto"/>
        <w:rPr>
          <w:sz w:val="20"/>
          <w:szCs w:val="20"/>
          <w:color w:val="auto"/>
        </w:rPr>
      </w:pPr>
      <w:r>
        <w:rPr>
          <w:rFonts w:ascii="Arial" w:cs="Arial" w:eastAsia="Arial" w:hAnsi="Arial"/>
          <w:sz w:val="16"/>
          <w:szCs w:val="16"/>
          <w:b w:val="1"/>
          <w:bCs w:val="1"/>
          <w:color w:val="auto"/>
        </w:rPr>
        <w:t xml:space="preserve">THIS RESTRICTED STOCK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March 14, 2008 by and between Rush Enterprises,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w:t>
      </w:r>
    </w:p>
    <w:p>
      <w:pPr>
        <w:spacing w:after="0" w:line="141" w:lineRule="exact"/>
        <w:rPr>
          <w:sz w:val="20"/>
          <w:szCs w:val="20"/>
          <w:color w:val="auto"/>
        </w:rPr>
      </w:pPr>
    </w:p>
    <w:p>
      <w:pPr>
        <w:ind w:left="1240" w:hanging="653"/>
        <w:spacing w:after="0"/>
        <w:tabs>
          <w:tab w:leader="none" w:pos="1240" w:val="left"/>
        </w:tabs>
        <w:numPr>
          <w:ilvl w:val="0"/>
          <w:numId w:val="33"/>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OF RESTRICTED SHARES</w:t>
      </w:r>
      <w:r>
        <w:rPr>
          <w:rFonts w:ascii="Arial" w:cs="Arial" w:eastAsia="Arial" w:hAnsi="Arial"/>
          <w:sz w:val="15"/>
          <w:szCs w:val="15"/>
          <w:color w:val="auto"/>
        </w:rPr>
        <w:t>. Pursuant to the Rush Enterprises, Inc. 2007 Long-Term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Employee is hereby awarded</w:t>
      </w:r>
    </w:p>
    <w:p>
      <w:pPr>
        <w:spacing w:after="0" w:line="39" w:lineRule="exact"/>
        <w:rPr>
          <w:sz w:val="20"/>
          <w:szCs w:val="20"/>
          <w:color w:val="auto"/>
        </w:rPr>
      </w:pPr>
    </w:p>
    <w:p>
      <w:pPr>
        <w:ind w:right="40" w:firstLine="776"/>
        <w:spacing w:after="0" w:line="272" w:lineRule="auto"/>
        <w:rPr>
          <w:sz w:val="20"/>
          <w:szCs w:val="20"/>
          <w:color w:val="auto"/>
        </w:rPr>
      </w:pPr>
      <w:r>
        <w:rPr>
          <w:rFonts w:ascii="Arial" w:cs="Arial" w:eastAsia="Arial" w:hAnsi="Arial"/>
          <w:sz w:val="16"/>
          <w:szCs w:val="16"/>
          <w:color w:val="auto"/>
        </w:rPr>
        <w:t>shares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of Common Stock. All of the Restricted Shares shall be subject to the prohibition on the transfer of the Restricted Shares and the obligations to forfeit the Restricted Shares to the Company as set forth in Section 3 of this Agreement (“Forfeiture Restrictions”).</w:t>
      </w:r>
    </w:p>
    <w:p>
      <w:pPr>
        <w:spacing w:after="0" w:line="156" w:lineRule="exact"/>
        <w:rPr>
          <w:sz w:val="20"/>
          <w:szCs w:val="20"/>
          <w:color w:val="auto"/>
        </w:rPr>
      </w:pPr>
    </w:p>
    <w:p>
      <w:pPr>
        <w:ind w:right="100" w:firstLine="587"/>
        <w:spacing w:after="0" w:line="283" w:lineRule="auto"/>
        <w:tabs>
          <w:tab w:leader="none" w:pos="1243" w:val="left"/>
        </w:tabs>
        <w:numPr>
          <w:ilvl w:val="0"/>
          <w:numId w:val="34"/>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 OF THE PLAN</w:t>
      </w:r>
      <w:r>
        <w:rPr>
          <w:rFonts w:ascii="Arial" w:cs="Arial" w:eastAsia="Arial" w:hAnsi="Arial"/>
          <w:sz w:val="15"/>
          <w:szCs w:val="15"/>
          <w:color w:val="auto"/>
        </w:rPr>
        <w:t>. The Restricted Shares awarded to Employee are subject to all of the terms and conditions of the Plan, which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are incorporated herein for all purposes, and of this Agreement together with all rules and determinations from time to time issued by the Committee and by the Board pursuant to the Plan. The Company hereby reserves the right to amend, modify, restate, supplement or terminate the Plan without the consent of Employee, so long as such amendment, modification, restatement or supplement shall not materially reduce the rights and benefits available to Employee hereunder, and this Award shall be subject, without further action by the Company or Employee, to such amendment, modification, restatement or supplement unless provided otherwise therein. Capitalized terms used but not defined in this Agreement shall have the meanings ascribed to such terms in the Plan.</w:t>
      </w:r>
    </w:p>
    <w:p>
      <w:pPr>
        <w:spacing w:after="0" w:line="153" w:lineRule="exact"/>
        <w:rPr>
          <w:rFonts w:ascii="Arial" w:cs="Arial" w:eastAsia="Arial" w:hAnsi="Arial"/>
          <w:sz w:val="15"/>
          <w:szCs w:val="15"/>
          <w:color w:val="auto"/>
        </w:rPr>
      </w:pPr>
    </w:p>
    <w:p>
      <w:pPr>
        <w:ind w:left="1240" w:hanging="653"/>
        <w:spacing w:after="0"/>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w:t>
      </w:r>
      <w:r>
        <w:rPr>
          <w:rFonts w:ascii="Arial" w:cs="Arial" w:eastAsia="Arial" w:hAnsi="Arial"/>
          <w:sz w:val="16"/>
          <w:szCs w:val="16"/>
          <w:color w:val="auto"/>
        </w:rPr>
        <w:t>. Employee hereby accepts the Award of the Restricted Shares and agrees with respect thereto as follows:</w:t>
      </w:r>
    </w:p>
    <w:p>
      <w:pPr>
        <w:spacing w:after="0" w:line="212" w:lineRule="exact"/>
        <w:rPr>
          <w:rFonts w:ascii="Arial" w:cs="Arial" w:eastAsia="Arial" w:hAnsi="Arial"/>
          <w:sz w:val="16"/>
          <w:szCs w:val="16"/>
          <w:color w:val="auto"/>
        </w:rPr>
      </w:pPr>
    </w:p>
    <w:p>
      <w:pPr>
        <w:ind w:right="40" w:firstLine="1176"/>
        <w:spacing w:after="0" w:line="262" w:lineRule="auto"/>
        <w:tabs>
          <w:tab w:leader="none" w:pos="1808" w:val="left"/>
        </w:tabs>
        <w:numPr>
          <w:ilvl w:val="1"/>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w:t>
      </w:r>
      <w:r>
        <w:rPr>
          <w:rFonts w:ascii="Arial" w:cs="Arial" w:eastAsia="Arial" w:hAnsi="Arial"/>
          <w:sz w:val="16"/>
          <w:szCs w:val="16"/>
          <w:color w:val="auto"/>
        </w:rPr>
        <w:t>. Unless otherwise determined by the Committee and provided in this Agreement or the Plan, the Restricted Shares shall not be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assigned, pledged, exchanged, hypothecated or otherwise transferred except by will or the laws of decent and distribution. The Forfeiture Restrictions shall be binding upon and enforceable against any permitted transferee of the Restricted Shares. The Company shall not be required (i) to transfer on its books any Restricted Shares that have been sold or otherwise transferred in violation of any of the provisions of this Agreement or the Plan, or (ii) to treat as owner of such Restricted Shares, or accord the right to vote or pay or deliver dividends or other distributions to, any purchaser or other transferee to whom or which such Restricted Shares shall have been so transferred in violation of any of the provisions of this Agreement or the Plan.</w:t>
      </w:r>
    </w:p>
    <w:p>
      <w:pPr>
        <w:spacing w:after="0" w:line="168" w:lineRule="exact"/>
        <w:rPr>
          <w:rFonts w:ascii="Arial" w:cs="Arial" w:eastAsia="Arial" w:hAnsi="Arial"/>
          <w:sz w:val="16"/>
          <w:szCs w:val="16"/>
          <w:color w:val="auto"/>
        </w:rPr>
      </w:pPr>
    </w:p>
    <w:p>
      <w:pPr>
        <w:ind w:left="1820" w:hanging="644"/>
        <w:spacing w:after="0"/>
        <w:tabs>
          <w:tab w:leader="none" w:pos="1820" w:val="left"/>
        </w:tabs>
        <w:numPr>
          <w:ilvl w:val="1"/>
          <w:numId w:val="34"/>
        </w:numPr>
        <w:rPr>
          <w:rFonts w:ascii="Arial" w:cs="Arial" w:eastAsia="Arial" w:hAnsi="Arial"/>
          <w:sz w:val="15"/>
          <w:szCs w:val="15"/>
          <w:color w:val="auto"/>
        </w:rPr>
      </w:pPr>
      <w:r>
        <w:rPr>
          <w:rFonts w:ascii="Arial" w:cs="Arial" w:eastAsia="Arial" w:hAnsi="Arial"/>
          <w:sz w:val="15"/>
          <w:szCs w:val="15"/>
          <w:i w:val="1"/>
          <w:iCs w:val="1"/>
          <w:color w:val="auto"/>
        </w:rPr>
        <w:t>Mandatory Mediation and Arbitration Procedure</w:t>
      </w:r>
      <w:r>
        <w:rPr>
          <w:rFonts w:ascii="Arial" w:cs="Arial" w:eastAsia="Arial" w:hAnsi="Arial"/>
          <w:sz w:val="15"/>
          <w:szCs w:val="15"/>
          <w:color w:val="auto"/>
        </w:rPr>
        <w:t>. By execution of this Agreement and acceptance of this Award, which is a voluntary benefit</w:t>
      </w:r>
    </w:p>
    <w:p>
      <w:pPr>
        <w:spacing w:after="0" w:line="3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provided to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79640"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by the Company, the Employee waives the Employee’s right to a jury trial in state or federal court and agrees that disputes arising under this Agreement must first be submitted for non-binding mediation before a neutral third party. Any such mediation shall be conducted and administered by the American Arbitration Association (“</w:t>
      </w:r>
      <w:r>
        <w:rPr>
          <w:rFonts w:ascii="Arial" w:cs="Arial" w:eastAsia="Arial" w:hAnsi="Arial"/>
          <w:sz w:val="15"/>
          <w:szCs w:val="15"/>
          <w:b w:val="1"/>
          <w:bCs w:val="1"/>
          <w:color w:val="auto"/>
        </w:rPr>
        <w:t>AAA”)</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pursuant to such procedures as the AAA </w:t>
      </w:r>
      <w:r>
        <w:rPr>
          <w:rFonts w:ascii="Arial" w:cs="Arial" w:eastAsia="Arial" w:hAnsi="Arial"/>
          <w:sz w:val="15"/>
          <w:szCs w:val="15"/>
          <w:color w:val="auto"/>
        </w:rPr>
        <w:t>may from time to time establish, such procedures being incorporated herein by reference. If a dispute remains unresolved at the</w:t>
      </w:r>
      <w:r>
        <w:rPr>
          <w:rFonts w:ascii="Arial" w:cs="Arial" w:eastAsia="Arial" w:hAnsi="Arial"/>
          <w:sz w:val="15"/>
          <w:szCs w:val="15"/>
          <w:b w:val="1"/>
          <w:bCs w:val="1"/>
          <w:color w:val="auto"/>
        </w:rPr>
        <w:t xml:space="preserve"> </w:t>
      </w:r>
      <w:r>
        <w:rPr>
          <w:rFonts w:ascii="Arial" w:cs="Arial" w:eastAsia="Arial" w:hAnsi="Arial"/>
          <w:sz w:val="15"/>
          <w:szCs w:val="15"/>
          <w:color w:val="auto"/>
        </w:rPr>
        <w:t>conclusion of the mediation process, either party may submit the dispute for resolution by final binding arbitration. The arbitration will be conducted under the employment Dispute Resolution Rules of the AAA, as amended (“Rules”). These Rules, incorporated by reference herein, include (but are not limited to) the procedures for the joint selection of an impartial arbitrator and for the hearing of evidence before the arbitrator. The arbitrator shall have the authority to allow for appropriate discovery and exchange of information prior to a hearing, including (but not limited to) production of documents, information requests, depositions, and subpoenas. By execution of this Agreement, however, the Employee does not waive the Employee’s right to any normally available remedies the Employee may have in connection with any claim the Employee may bring against the Company, as an arbitrator can award any normal remedies the Employee could get in a court proceeding. By execution of this Agreement, the Employee represents that to the extent the Employee considered necessary, the Employee has sought, at the Employee’s own expense, counsel regarding the terms of this Agreement and the waiver contemplated in this paragraph (b) of Section 3. If this arbitration provision is found inapplicable, then either party may file suit and each party agrees that any suit, action, or proceeding arising out of or relating to this Agreement shall be brought in the United States District Court for the Western District of Texas (or should such court lack jurisdiction to hear such action, suit or proceeding, in a Texas State court in Bexar County, Texas) and that the parties shall submit to the jurisdiction of such court.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w:t>
      </w:r>
    </w:p>
    <w:p>
      <w:pPr>
        <w:spacing w:after="0" w:line="163" w:lineRule="exact"/>
        <w:rPr>
          <w:sz w:val="20"/>
          <w:szCs w:val="20"/>
          <w:color w:val="auto"/>
        </w:rPr>
      </w:pPr>
    </w:p>
    <w:p>
      <w:pPr>
        <w:ind w:right="60" w:firstLine="1176"/>
        <w:spacing w:after="0" w:line="279" w:lineRule="auto"/>
        <w:tabs>
          <w:tab w:leader="none" w:pos="1808"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Forfeiture of Restricted Shares</w:t>
      </w:r>
      <w:r>
        <w:rPr>
          <w:rFonts w:ascii="Arial" w:cs="Arial" w:eastAsia="Arial" w:hAnsi="Arial"/>
          <w:sz w:val="15"/>
          <w:szCs w:val="15"/>
          <w:color w:val="auto"/>
        </w:rPr>
        <w:t>. If Employee terminates service with the Company and its Subsidiaries prior to March 14, 2009 (the “Restriction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Lapse Date”) for any reason other than Employee’s death, Disability or a decision to Retire, or if Employee (or Employee’s estate) shall initiate a legal proceeding against the Company other than pursuant to the terms of paragraph (b) of this Section 3, then Employee (or Employee’s estate, as applicable) shall, for no consideration, forfeit to the Company all Restricted Shares. If after the Restriction Lapse Date Employee terminates service with the Company and its Subsidiaries for any reason other than Employee’s death, Disability or a decision to Retire, then Employee shall, for no consideration, forfeit to the Company all Restricted Shares with respect to which the Forfeiture Restrictions have not lapsed pursuant to paragraph (d) of this Section 3 as of the effective date of such termination of service. Notwithstanding the forgoing, the Committee or its designee may, in the Committee’s or the designee’s sole and absolute discretion, as applicable, provide for the acceleration of the vesting of the Restricted Shares, eliminate or make less restrictive any restrictions contained in this Agreement, waive any restriction or other provision of the Plan or this Agreement or otherwise amend or modify this Agreement in any manner that is either (i) not adverse to Employee, or (ii) consented to by Employee.</w:t>
      </w:r>
    </w:p>
    <w:p>
      <w:pPr>
        <w:spacing w:after="0" w:line="157" w:lineRule="exact"/>
        <w:rPr>
          <w:rFonts w:ascii="Arial" w:cs="Arial" w:eastAsia="Arial" w:hAnsi="Arial"/>
          <w:sz w:val="15"/>
          <w:szCs w:val="15"/>
          <w:color w:val="auto"/>
        </w:rPr>
      </w:pPr>
    </w:p>
    <w:p>
      <w:pPr>
        <w:ind w:left="1820" w:hanging="644"/>
        <w:spacing w:after="0"/>
        <w:tabs>
          <w:tab w:leader="none" w:pos="1820"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Lapse of Forfeiture Restrictions</w:t>
      </w:r>
      <w:r>
        <w:rPr>
          <w:rFonts w:ascii="Arial" w:cs="Arial" w:eastAsia="Arial" w:hAnsi="Arial"/>
          <w:sz w:val="15"/>
          <w:szCs w:val="15"/>
          <w:color w:val="auto"/>
        </w:rPr>
        <w:t>. If Employee provides continuous, eligible service to the Company and its Subsidiaries as determined by the</w:t>
      </w:r>
    </w:p>
    <w:p>
      <w:pPr>
        <w:spacing w:after="0" w:line="3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Committee or 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designee, in the Committee’s </w:t>
      </w:r>
      <w:r>
        <w:rPr>
          <w:rFonts w:ascii="Arial" w:cs="Arial" w:eastAsia="Arial" w:hAnsi="Arial"/>
          <w:sz w:val="19"/>
          <w:szCs w:val="19"/>
          <w:color w:val="auto"/>
        </w:rPr>
        <w:t>or</w:t>
      </w:r>
      <w:r>
        <w:rPr>
          <w:rFonts w:ascii="Arial" w:cs="Arial" w:eastAsia="Arial" w:hAnsi="Arial"/>
          <w:sz w:val="16"/>
          <w:szCs w:val="16"/>
          <w:color w:val="auto"/>
        </w:rPr>
        <w:t xml:space="preserve"> the designee’s sole and absolute discretion, as applicable, the Forfeiture Restrictions will lapse with respect to one-third (33.33%) of the Restricted Shares on the Restriction Lapse Date; an additional one-third (33.33%) of the Restricted Shares on the first anniversary of the Restriction Lapse Date; an additional one-third (33.33%) on the second anniversary of the Restriction Lapse Date. If the number of Restricted Shares with respect to which the Forfeiture Restrictions would lapse as of any particular anniversary of the Restriction Lapse Date results in the Forfeiture Restrictions lapsing with respect to a fractional Restricted Share, such installment will be rounded to the next whole Restricted Share, as determined by the Company, except the final installment, which will be for the balance of the Restricted Shares with respect to which the forfeiture restrictions have lapsed.</w:t>
      </w:r>
    </w:p>
    <w:p>
      <w:pPr>
        <w:spacing w:after="0" w:line="172" w:lineRule="exact"/>
        <w:rPr>
          <w:sz w:val="20"/>
          <w:szCs w:val="20"/>
          <w:color w:val="auto"/>
        </w:rPr>
      </w:pPr>
    </w:p>
    <w:p>
      <w:pPr>
        <w:ind w:right="60" w:firstLine="1176"/>
        <w:spacing w:after="0" w:line="315" w:lineRule="auto"/>
        <w:tabs>
          <w:tab w:leader="none" w:pos="1808" w:val="left"/>
        </w:tabs>
        <w:numPr>
          <w:ilvl w:val="0"/>
          <w:numId w:val="36"/>
        </w:numPr>
        <w:rPr>
          <w:rFonts w:ascii="Arial" w:cs="Arial" w:eastAsia="Arial" w:hAnsi="Arial"/>
          <w:sz w:val="14"/>
          <w:szCs w:val="14"/>
          <w:color w:val="auto"/>
        </w:rPr>
      </w:pPr>
      <w:r>
        <w:rPr>
          <w:rFonts w:ascii="Arial" w:cs="Arial" w:eastAsia="Arial" w:hAnsi="Arial"/>
          <w:sz w:val="14"/>
          <w:szCs w:val="14"/>
          <w:b w:val="1"/>
          <w:bCs w:val="1"/>
          <w:i w:val="1"/>
          <w:iCs w:val="1"/>
          <w:color w:val="auto"/>
        </w:rPr>
        <w:t>Death or Disability or Retirement</w:t>
      </w:r>
      <w:r>
        <w:rPr>
          <w:rFonts w:ascii="Arial" w:cs="Arial" w:eastAsia="Arial" w:hAnsi="Arial"/>
          <w:sz w:val="14"/>
          <w:szCs w:val="14"/>
          <w:color w:val="auto"/>
        </w:rPr>
        <w:t>. If Employee shall die or be subject to Disability (as defined in Section 22(e)(3) of the Internal Revenue Code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1986, as amended (the “Code”)) while employed by the Company and its Subsidiaries or choose to Retire (defined as termination by the Employee of the Employee’s employment relationship with the Company or any of its subsidiaries after 10 years of employment with the Company and attaining the age of 60), the Forfeiture Restrictions of the Restricted Shares granted hereunder (unless previously terminated pursuant to paragraph (c) of this Section 3) will lapse pursuant to the following: (i) in the case of</w:t>
      </w:r>
    </w:p>
    <w:p>
      <w:pPr>
        <w:sectPr>
          <w:pgSz w:w="11900" w:h="16838" w:orient="portrait"/>
          <w:cols w:equalWidth="0" w:num="1">
            <w:col w:w="11420"/>
          </w:cols>
          <w:pgMar w:left="240" w:top="319" w:right="239" w:bottom="0" w:gutter="0" w:footer="0" w:header="0"/>
        </w:sectPr>
      </w:pPr>
    </w:p>
    <w:bookmarkStart w:id="47" w:name="page48"/>
    <w:bookmarkEnd w:id="47"/>
    <w:p>
      <w:pPr>
        <w:spacing w:after="0" w:line="282" w:lineRule="auto"/>
        <w:rPr>
          <w:sz w:val="20"/>
          <w:szCs w:val="20"/>
          <w:color w:val="auto"/>
        </w:rPr>
      </w:pPr>
      <w:r>
        <w:rPr>
          <w:rFonts w:ascii="Arial" w:cs="Arial" w:eastAsia="Arial" w:hAnsi="Arial"/>
          <w:sz w:val="15"/>
          <w:szCs w:val="15"/>
          <w:color w:val="auto"/>
        </w:rPr>
        <w:t>death or Disability while employed by the Company and its Subsidiaries or after Employee chooses to Retire (so long as Employee does not become employed by a “competitor” of the Company), the Forfeiture Restrictions will lapse for all of the Restricted Shares; and (ii) in the case Employee chooses to Retire, for so long as Employee does not become employed by a “competitor” of the Company, the Forfeiture Restrictions shall continue to lapse pursuant to paragraph (d) of this Section 3. A determination as to whether the Employee has become employed by a “competitor,” and the definition of “competitor,” shall be made by the Committee, in its sole discretion. In the event Employee becomes employed by a “competitor,” then Employee’s continuous, eligible service to the Company will be deemed to terminate on the date Employee is employed by a “competitor” and the provisions of Paragraph (d) of this Section 3 shall apply to determine whether any Forfeiture Restrictions have lapsed.</w:t>
      </w:r>
    </w:p>
    <w:p>
      <w:pPr>
        <w:spacing w:after="0" w:line="158" w:lineRule="exact"/>
        <w:rPr>
          <w:sz w:val="20"/>
          <w:szCs w:val="20"/>
          <w:color w:val="auto"/>
        </w:rPr>
      </w:pPr>
    </w:p>
    <w:p>
      <w:pPr>
        <w:ind w:right="240" w:firstLine="1176"/>
        <w:spacing w:after="0" w:line="286" w:lineRule="auto"/>
        <w:tabs>
          <w:tab w:leader="none" w:pos="1831"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If a Change in Control occurs during the term of this Agreement, the Forfeiture Restrictions will lapse with respect to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hundred percent (100%) of the Restricted Shares.</w:t>
      </w:r>
    </w:p>
    <w:p>
      <w:pPr>
        <w:spacing w:after="0" w:line="150" w:lineRule="exact"/>
        <w:rPr>
          <w:rFonts w:ascii="Arial" w:cs="Arial" w:eastAsia="Arial" w:hAnsi="Arial"/>
          <w:sz w:val="16"/>
          <w:szCs w:val="16"/>
          <w:color w:val="auto"/>
        </w:rPr>
      </w:pPr>
    </w:p>
    <w:p>
      <w:pPr>
        <w:ind w:right="80" w:firstLine="1176"/>
        <w:spacing w:after="0" w:line="280" w:lineRule="auto"/>
        <w:tabs>
          <w:tab w:leader="none" w:pos="1818" w:val="left"/>
        </w:tabs>
        <w:numPr>
          <w:ilvl w:val="0"/>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Dividend and Voting Rights</w:t>
      </w:r>
      <w:r>
        <w:rPr>
          <w:rFonts w:ascii="Arial" w:cs="Arial" w:eastAsia="Arial" w:hAnsi="Arial"/>
          <w:sz w:val="15"/>
          <w:szCs w:val="15"/>
          <w:color w:val="auto"/>
        </w:rPr>
        <w:t>. Subject to the Forfeiture Restrictions contained in this Agreement, Employee shall have the rights of a stockholder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respect to the Restricted Shares, including the right to vote all such Restricted Shares, whether or not the Forfeiture Restrictions have lapsed with respect to such Shares, and to receive all dividends, cash or stock, paid or delivered thereon, from and after the date hereof. Any dividends, cash or stock, paid or delivered on any of the Restricted Shares shall be credited to an account for the benefit of Employee. In the event of the forfeiture of any Restricted Shares pursuant to this Section 3, Employee shall have no further rights with respect to such Restricted Shares, and Employee shall forfeit any dividends, cash or stock, credited to the account for the benefit of Employee which are related to the forfeited Restricted Shares. To the extent the Forfeiture Restrictions lapse with respect to any of the Restricted Shares pursuant to this Section 3, all dividends, cash and stock, if any, credited to the account for the benefit of Employee shall be used, to the extent necessary, to satisfy any applicable federal, state and local income and employment tax withholding obligations under Section 6 of this Agreement. To the extent any dividends, cash or stock, are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not used to satisfy any applicable federal, state and local income and employment tax withholding obligations under Section 6 of this Agreement, such dividends, cash or stock, will be distributed to Employee. The forfeiture of the Restricted Shares pursuant to this Section 3 shall not invalidate any votes given by Employee with respect to such Restricted Shares prior to forfeiture.</w:t>
      </w:r>
    </w:p>
    <w:p>
      <w:pPr>
        <w:spacing w:after="0" w:line="162" w:lineRule="exact"/>
        <w:rPr>
          <w:sz w:val="20"/>
          <w:szCs w:val="20"/>
          <w:color w:val="auto"/>
        </w:rPr>
      </w:pPr>
    </w:p>
    <w:p>
      <w:pPr>
        <w:ind w:right="80" w:firstLine="1176"/>
        <w:spacing w:after="0" w:line="279" w:lineRule="auto"/>
        <w:tabs>
          <w:tab w:leader="none" w:pos="1818"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Evidence of Ownership</w:t>
      </w:r>
      <w:r>
        <w:rPr>
          <w:rFonts w:ascii="Arial" w:cs="Arial" w:eastAsia="Arial" w:hAnsi="Arial"/>
          <w:sz w:val="15"/>
          <w:szCs w:val="15"/>
          <w:color w:val="auto"/>
        </w:rPr>
        <w:t>. Evidence of the Award of the Restricted Shares pursuant to this Agreement may be accomplished in such manner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or its authorized representatives shall deem appropriate including, without limitation, electronic registration, book-entry registration or issuance of a stock certificate or certificates in the name of Employee or in the name of such other party or parties as the Company and its authorized representatives shall deem appropriate. In the event any stock certificate is issued in respect of the Restricted Shares, while such shares are still subject to the Forfeiture Restrictions such certificate shall bear an appropriate legend with respect to the Forfeiture Restrictions applicable to such Award. The Company may retain, at its option, the physical custody of any stock certificate representing any awards of Restricted Shares during the restriction period or require that the certificates evidencing Restricted Shares be placed in escrow or trust, along with a stock power endorsed in blank, until all Forfeiture Restrictions are removed or expire. In the event the Award of the Restricted Shares is documented or recorded electronically, the Company and its authorized representatives shall ensure that Employee is prohibited from selling, assigning, pledging, exchanging, hypothecating or otherwise transferring the Restricted Shares while such shares are still subject to the Forfeiture Restrictions.</w:t>
      </w:r>
    </w:p>
    <w:p>
      <w:pPr>
        <w:spacing w:after="0" w:line="158"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Upon the lapse of the Forfeiture Restrictions pursuant to this Section 3, the Company or, at the Company’s instruction, its authorized representative shall release those Restricted Shares with respect to which the Forfeiture Restrictions have lapsed. The lapse of the Forfeiture Restrictions and the release of the Restricted Shares shall be evidenced in such a manner as the Company and its authorized representatives deem appropriate under the circumstances.</w:t>
      </w:r>
    </w:p>
    <w:p>
      <w:pPr>
        <w:spacing w:after="0" w:line="162" w:lineRule="exact"/>
        <w:rPr>
          <w:sz w:val="20"/>
          <w:szCs w:val="20"/>
          <w:color w:val="auto"/>
        </w:rPr>
      </w:pPr>
    </w:p>
    <w:p>
      <w:pPr>
        <w:ind w:right="20" w:firstLine="589"/>
        <w:spacing w:after="0" w:line="266" w:lineRule="auto"/>
        <w:rPr>
          <w:sz w:val="20"/>
          <w:szCs w:val="20"/>
          <w:color w:val="auto"/>
        </w:rPr>
      </w:pPr>
      <w:r>
        <w:rPr>
          <w:rFonts w:ascii="Arial" w:cs="Arial" w:eastAsia="Arial" w:hAnsi="Arial"/>
          <w:sz w:val="16"/>
          <w:szCs w:val="16"/>
          <w:color w:val="auto"/>
        </w:rPr>
        <w:t>At the Company’s request, Employee shall execute and deliver, as necessary, a stock power, in blank, with respect to the Restricted Shares, and the Company may, as necessary, exercise such stock power in the event of the forfeiture of any Restricted Shares pursuant to this Agreement, or as may otherwise be required in order for the Company to withhold the Restricted Shares necessary to satisfy any applicable federal, state and local income and employment tax withholding obligations pursuant to Section 6 of this Agreement.</w:t>
      </w:r>
    </w:p>
    <w:p>
      <w:pPr>
        <w:spacing w:after="0" w:line="162" w:lineRule="exact"/>
        <w:rPr>
          <w:sz w:val="20"/>
          <w:szCs w:val="20"/>
          <w:color w:val="auto"/>
        </w:rPr>
      </w:pPr>
    </w:p>
    <w:p>
      <w:pPr>
        <w:ind w:right="40" w:firstLine="587"/>
        <w:spacing w:after="0" w:line="274" w:lineRule="auto"/>
        <w:tabs>
          <w:tab w:leader="none" w:pos="1243"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COMMUNITY INTEREST OF SPOUSE</w:t>
      </w:r>
      <w:r>
        <w:rPr>
          <w:rFonts w:ascii="Arial" w:cs="Arial" w:eastAsia="Arial" w:hAnsi="Arial"/>
          <w:sz w:val="16"/>
          <w:szCs w:val="16"/>
          <w:color w:val="auto"/>
        </w:rPr>
        <w:t>. The community interest, if any, of any spouse of Employee in any of the Restricted Shares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terms, conditions and restrictions of this Agreement and the Plan, and shall be forfeited and surrendered to the Company upon the occurrence of any of the events requiring Employee’s interest in such Restricted Shares to be so forfeited and surrendered pursuant to this Agreement.</w:t>
      </w:r>
    </w:p>
    <w:p>
      <w:pPr>
        <w:spacing w:after="0" w:line="154" w:lineRule="exact"/>
        <w:rPr>
          <w:rFonts w:ascii="Arial" w:cs="Arial" w:eastAsia="Arial" w:hAnsi="Arial"/>
          <w:sz w:val="16"/>
          <w:szCs w:val="16"/>
          <w:color w:val="auto"/>
        </w:rPr>
      </w:pPr>
    </w:p>
    <w:p>
      <w:pPr>
        <w:ind w:left="1240" w:hanging="653"/>
        <w:spacing w:after="0"/>
        <w:tabs>
          <w:tab w:leader="none" w:pos="1240" w:val="left"/>
        </w:tabs>
        <w:numPr>
          <w:ilvl w:val="0"/>
          <w:numId w:val="39"/>
        </w:numPr>
        <w:rPr>
          <w:rFonts w:ascii="Arial" w:cs="Arial" w:eastAsia="Arial" w:hAnsi="Arial"/>
          <w:sz w:val="15"/>
          <w:szCs w:val="15"/>
          <w:color w:val="auto"/>
        </w:rPr>
      </w:pPr>
      <w:r>
        <w:rPr>
          <w:rFonts w:ascii="Arial" w:cs="Arial" w:eastAsia="Arial" w:hAnsi="Arial"/>
          <w:sz w:val="15"/>
          <w:szCs w:val="15"/>
          <w:b w:val="1"/>
          <w:bCs w:val="1"/>
          <w:u w:val="single" w:color="auto"/>
          <w:color w:val="auto"/>
        </w:rPr>
        <w:t>BINDING EFFECT</w:t>
      </w:r>
      <w:r>
        <w:rPr>
          <w:rFonts w:ascii="Arial" w:cs="Arial" w:eastAsia="Arial" w:hAnsi="Arial"/>
          <w:sz w:val="15"/>
          <w:szCs w:val="15"/>
          <w:color w:val="auto"/>
        </w:rPr>
        <w:t>. This Agreement shall be binding upon and inure to the benefit of any successors to the Company and all persons lawfully claiming</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under Employee.</w:t>
      </w:r>
    </w:p>
    <w:p>
      <w:pPr>
        <w:spacing w:after="0" w:line="193" w:lineRule="exact"/>
        <w:rPr>
          <w:rFonts w:ascii="Arial" w:cs="Arial" w:eastAsia="Arial" w:hAnsi="Arial"/>
          <w:sz w:val="15"/>
          <w:szCs w:val="15"/>
          <w:color w:val="auto"/>
        </w:rPr>
      </w:pPr>
    </w:p>
    <w:p>
      <w:pPr>
        <w:ind w:left="1240" w:hanging="653"/>
        <w:spacing w:after="0"/>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p>
    <w:p>
      <w:pPr>
        <w:spacing w:after="0" w:line="212" w:lineRule="exact"/>
        <w:rPr>
          <w:rFonts w:ascii="Arial" w:cs="Arial" w:eastAsia="Arial" w:hAnsi="Arial"/>
          <w:sz w:val="16"/>
          <w:szCs w:val="16"/>
          <w:color w:val="auto"/>
        </w:rPr>
      </w:pPr>
    </w:p>
    <w:p>
      <w:pPr>
        <w:ind w:left="1800" w:hanging="624"/>
        <w:spacing w:after="0"/>
        <w:tabs>
          <w:tab w:leader="none" w:pos="18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lapsing of the Forfeiture Restrictions with respect to the Restricted Shares pursuant to Section 3 of this Agreement shall be subject to the</w:t>
      </w:r>
    </w:p>
    <w:p>
      <w:pPr>
        <w:spacing w:after="0" w:line="3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satisfaction of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applicable federal, state and local income and employment tax withholding requirements (the “</w:t>
      </w:r>
      <w:r>
        <w:rPr>
          <w:rFonts w:ascii="Arial" w:cs="Arial" w:eastAsia="Arial" w:hAnsi="Arial"/>
          <w:sz w:val="16"/>
          <w:szCs w:val="16"/>
          <w:u w:val="single" w:color="auto"/>
          <w:color w:val="auto"/>
        </w:rPr>
        <w:t>Required Withholding</w:t>
      </w:r>
      <w:r>
        <w:rPr>
          <w:rFonts w:ascii="Arial" w:cs="Arial" w:eastAsia="Arial" w:hAnsi="Arial"/>
          <w:sz w:val="16"/>
          <w:szCs w:val="16"/>
          <w:color w:val="auto"/>
        </w:rPr>
        <w:t>”). By execution of this Agreement, Employee shall be deemed to have authorized the Company, after taking into consideration any dividends, cash or stock, credited to an account for the benefit of Employee, as contemplated in paragraph (g) of Section 3, to withhold the Restricted Shares with respect to which the Forfeiture Restrictions have lapsed necessary to satisfy Employee’s Required Withholding, if any. The amount of the Required Withholding and the number of Restricted Shares required to satisfy Employee’s Required Withholding, if any, as well as the amount reflected on tax reports filed by the Company, shall be based on the closing price of the Common Stock on the day the Forfeiture Restrictions lapse pursuant to Section 3 of this Agreement. Notwithstanding the foregoing, the Company may require that Employee satisfy Employee’s Required Withholding, if any, by any other means the Company, in its sole discretion, considers reasonable. The obligations of the Company under this Agreement shall be conditioned on such satisfaction of the Required Withholding.</w:t>
      </w:r>
    </w:p>
    <w:p>
      <w:pPr>
        <w:spacing w:after="0" w:line="172" w:lineRule="exact"/>
        <w:rPr>
          <w:sz w:val="20"/>
          <w:szCs w:val="20"/>
          <w:color w:val="auto"/>
        </w:rPr>
      </w:pPr>
    </w:p>
    <w:p>
      <w:pPr>
        <w:ind w:right="140" w:firstLine="1176"/>
        <w:spacing w:after="0" w:line="263" w:lineRule="auto"/>
        <w:tabs>
          <w:tab w:leader="none" w:pos="18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Employee acknowledges that the tax consequences associated with the Award are complex and that the Company has urged Employee to review with Employee’s own tax advisors the federal, state, and local tax consequences of this Award. Employee is relying solely on such advisors and not on any statements or representations of the Company or any of its agents. Employee understands that Employee (and not the Company) shall be responsible for Employee’s own tax liability that may arise as a result of this Agreement. Employee understands further that Section 83 of the Code, taxes as ordinary income the fair market value of the Restricted Shares with respect to which the Forfeiture Restrictions lapse pursuant to this Agreement.</w:t>
      </w:r>
    </w:p>
    <w:p>
      <w:pPr>
        <w:spacing w:after="0" w:line="165" w:lineRule="exact"/>
        <w:rPr>
          <w:sz w:val="20"/>
          <w:szCs w:val="20"/>
          <w:color w:val="auto"/>
        </w:rPr>
      </w:pPr>
    </w:p>
    <w:p>
      <w:pPr>
        <w:ind w:right="160" w:firstLine="589"/>
        <w:spacing w:after="0" w:line="292"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Agreement to be duly executed by an authorized officer and Employee has executed this Agreement, all</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first above written.</w:t>
      </w:r>
    </w:p>
    <w:p>
      <w:pPr>
        <w:sectPr>
          <w:pgSz w:w="11900" w:h="16838" w:orient="portrait"/>
          <w:cols w:equalWidth="0" w:num="1">
            <w:col w:w="11420"/>
          </w:cols>
          <w:pgMar w:left="240" w:top="127" w:right="239" w:bottom="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48" w:name="page49"/>
    <w:bookmarkEnd w:id="48"/>
    <w:p>
      <w:pPr>
        <w:ind w:left="3540"/>
        <w:spacing w:after="0"/>
        <w:rPr>
          <w:sz w:val="20"/>
          <w:szCs w:val="20"/>
          <w:color w:val="auto"/>
        </w:rPr>
      </w:pPr>
      <w:r>
        <w:rPr>
          <w:rFonts w:ascii="Arial" w:cs="Arial" w:eastAsia="Arial" w:hAnsi="Arial"/>
          <w:sz w:val="16"/>
          <w:szCs w:val="16"/>
          <w:b w:val="1"/>
          <w:bCs w:val="1"/>
          <w:color w:val="auto"/>
        </w:rPr>
        <w:t>RUSH ENTERPRISES, INC.</w:t>
      </w:r>
    </w:p>
    <w:p>
      <w:pPr>
        <w:spacing w:after="0" w:line="200" w:lineRule="exact"/>
        <w:rPr>
          <w:sz w:val="20"/>
          <w:szCs w:val="20"/>
          <w:color w:val="auto"/>
        </w:rPr>
      </w:pPr>
    </w:p>
    <w:p>
      <w:pPr>
        <w:spacing w:after="0" w:line="20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W.M. “Rusty” Rush,</w:t>
      </w:r>
    </w:p>
    <w:p>
      <w:pPr>
        <w:spacing w:after="0" w:line="2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Chief Executive Officer and President</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EMPLOYEE ACKNOWLEDGES AND AGREES THAT THE SHARES SUBJECT TO THIS RESTRICTED STOCK AWARD SHALL REMAIN SUBJECT TO THE FORFEITURE RESTRICTIONS PROVIDED FOR IN THIS AGREEMENT AND THE FORFEITURE RESTRICTIONS SHALL LAPSE, IF AT ALL, ONLY DURING THE PERIOD OF EMPLOYEE’S SERVICE TO THE COMPANY OR AS OTHERWISE PROVIDED IN THIS AGREEMENT (NOT THROUGH THE ACT OF BEING GRANTED THE RESTRICTED STOCK AWARD). EMPLOYEE FURTHER ACKNOWLEDGES AND AGREES THAT NOTHING IN THIS AGREEMENT OR THE PLAN SHALL CONFER UPON EMPLOYEE ANY RIGHT WITH RESPECT TO FUTURE AWARDS OR CONTINUATION OF EMPLOYEE’S SERVICE TO THE COMPANY. Employee acknowledges receipt of a copy of the Plan, represents that he or she is familiar with the terms and provisions thereof, and hereby accepts the Restricted Stock Award subject to all of the terms and provisions hereof and thereof. Employee has reviewed this Agreement and the Plan in their entirety, has had an opportunity to obtain the advice of counsel prior to executing this Agreement, and fully understands all provisions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860" w:val="left"/>
          <w:tab w:leader="none" w:pos="73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SIGNED:</w:t>
      </w:r>
      <w:r>
        <w:rPr>
          <w:sz w:val="20"/>
          <w:szCs w:val="20"/>
          <w:color w:val="auto"/>
        </w:rPr>
        <w:tab/>
      </w:r>
      <w:r>
        <w:rPr>
          <w:rFonts w:ascii="Arial" w:cs="Arial" w:eastAsia="Arial" w:hAnsi="Arial"/>
          <w:sz w:val="15"/>
          <w:szCs w:val="15"/>
          <w:color w:val="auto"/>
        </w:rPr>
        <w:t>&amp;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26009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0960" cy="7620"/>
                    </a:xfrm>
                    <a:prstGeom prst="rect">
                      <a:avLst/>
                    </a:prstGeom>
                    <a:noFill/>
                  </pic:spPr>
                </pic:pic>
              </a:graphicData>
            </a:graphic>
          </wp:anchor>
        </w:drawing>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EMPLOYEE</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240"/>
          </w:cols>
          <w:pgMar w:left="240" w:top="540" w:right="419" w:bottom="1440" w:gutter="0" w:footer="0" w:header="0"/>
        </w:sectPr>
      </w:pPr>
    </w:p>
    <w:bookmarkStart w:id="49" w:name="page50"/>
    <w:bookmarkEnd w:id="49"/>
    <w:p>
      <w:pPr>
        <w:spacing w:after="0" w:line="62"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21.1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SUBSIDIARIES OF THE COMPANY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State of Incorporation</w:t>
            </w:r>
          </w:p>
        </w:tc>
        <w:tc>
          <w:tcPr>
            <w:tcW w:w="5140" w:type="dxa"/>
            <w:vAlign w:val="bottom"/>
          </w:tcPr>
          <w:p>
            <w:pPr>
              <w:ind w:left="1280"/>
              <w:spacing w:after="0"/>
              <w:rPr>
                <w:sz w:val="20"/>
                <w:szCs w:val="20"/>
                <w:color w:val="auto"/>
              </w:rPr>
            </w:pPr>
            <w:r>
              <w:rPr>
                <w:rFonts w:ascii="Arial" w:cs="Arial" w:eastAsia="Arial" w:hAnsi="Arial"/>
                <w:sz w:val="13"/>
                <w:szCs w:val="13"/>
                <w:b w:val="1"/>
                <w:bCs w:val="1"/>
                <w:color w:val="auto"/>
              </w:rPr>
              <w:t>Names Under Which SubsidiaryDoes Business</w:t>
            </w:r>
          </w:p>
        </w:tc>
        <w:tc>
          <w:tcPr>
            <w:tcW w:w="40" w:type="dxa"/>
            <w:vAlign w:val="bottom"/>
          </w:tcPr>
          <w:p>
            <w:pPr>
              <w:spacing w:after="0"/>
              <w:rPr>
                <w:sz w:val="13"/>
                <w:szCs w:val="13"/>
                <w:color w:val="auto"/>
              </w:rPr>
            </w:pPr>
          </w:p>
        </w:tc>
      </w:tr>
      <w:tr>
        <w:trPr>
          <w:trHeight w:val="176"/>
        </w:trPr>
        <w:tc>
          <w:tcPr>
            <w:tcW w:w="4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Rush Truck Centers of Alabama, Inc.</w:t>
            </w: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Delaware</w:t>
            </w:r>
          </w:p>
        </w:tc>
        <w:tc>
          <w:tcPr>
            <w:tcW w:w="240" w:type="dxa"/>
            <w:vAlign w:val="bottom"/>
            <w:tcBorders>
              <w:top w:val="single" w:sz="8" w:color="CCEEFF"/>
            </w:tcBorders>
            <w:shd w:val="clear" w:color="auto" w:fill="CCEEFF"/>
          </w:tcPr>
          <w:p>
            <w:pPr>
              <w:spacing w:after="0"/>
              <w:rPr>
                <w:sz w:val="15"/>
                <w:szCs w:val="15"/>
                <w:color w:val="auto"/>
              </w:rPr>
            </w:pPr>
          </w:p>
        </w:tc>
        <w:tc>
          <w:tcPr>
            <w:tcW w:w="5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Rush Truck Center, Mobile</w:t>
            </w:r>
          </w:p>
        </w:tc>
        <w:tc>
          <w:tcPr>
            <w:tcW w:w="40" w:type="dxa"/>
            <w:vAlign w:val="bottom"/>
          </w:tcPr>
          <w:p>
            <w:pPr>
              <w:spacing w:after="0"/>
              <w:rPr>
                <w:sz w:val="15"/>
                <w:szCs w:val="15"/>
                <w:color w:val="auto"/>
              </w:rPr>
            </w:pPr>
          </w:p>
        </w:tc>
      </w:tr>
      <w:tr>
        <w:trPr>
          <w:trHeight w:val="209"/>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Mobile</w:t>
            </w:r>
          </w:p>
        </w:tc>
        <w:tc>
          <w:tcPr>
            <w:tcW w:w="40" w:type="dxa"/>
            <w:vAlign w:val="bottom"/>
          </w:tcPr>
          <w:p>
            <w:pPr>
              <w:spacing w:after="0"/>
              <w:rPr>
                <w:sz w:val="18"/>
                <w:szCs w:val="18"/>
                <w:color w:val="auto"/>
              </w:rPr>
            </w:pPr>
          </w:p>
        </w:tc>
      </w:tr>
      <w:tr>
        <w:trPr>
          <w:trHeight w:val="184"/>
        </w:trPr>
        <w:tc>
          <w:tcPr>
            <w:tcW w:w="4260" w:type="dxa"/>
            <w:vAlign w:val="bottom"/>
            <w:gridSpan w:val="2"/>
          </w:tcPr>
          <w:p>
            <w:pPr>
              <w:spacing w:after="0"/>
              <w:rPr>
                <w:sz w:val="20"/>
                <w:szCs w:val="20"/>
                <w:color w:val="auto"/>
              </w:rPr>
            </w:pPr>
            <w:r>
              <w:rPr>
                <w:rFonts w:ascii="Arial" w:cs="Arial" w:eastAsia="Arial" w:hAnsi="Arial"/>
                <w:sz w:val="16"/>
                <w:szCs w:val="16"/>
                <w:color w:val="auto"/>
              </w:rPr>
              <w:t>Rush Truck Centers of Arizona, Inc.</w:t>
            </w:r>
          </w:p>
        </w:tc>
        <w:tc>
          <w:tcPr>
            <w:tcW w:w="20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tcPr>
          <w:p>
            <w:pPr>
              <w:spacing w:after="0"/>
              <w:rPr>
                <w:sz w:val="20"/>
                <w:szCs w:val="20"/>
                <w:color w:val="auto"/>
              </w:rPr>
            </w:pPr>
            <w:r>
              <w:rPr>
                <w:rFonts w:ascii="Arial" w:cs="Arial" w:eastAsia="Arial" w:hAnsi="Arial"/>
                <w:sz w:val="16"/>
                <w:szCs w:val="16"/>
                <w:color w:val="auto"/>
              </w:rPr>
              <w:t>Rush Truck Center, Phoenix</w:t>
            </w:r>
          </w:p>
        </w:tc>
        <w:tc>
          <w:tcPr>
            <w:tcW w:w="40" w:type="dxa"/>
            <w:vAlign w:val="bottom"/>
          </w:tcPr>
          <w:p>
            <w:pPr>
              <w:spacing w:after="0"/>
              <w:rPr>
                <w:sz w:val="15"/>
                <w:szCs w:val="15"/>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Phoenix</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Chandler</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Chandler</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Flagstaff</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Flagstaff</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Tucson</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Tucson</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Yuma</w:t>
            </w:r>
          </w:p>
        </w:tc>
        <w:tc>
          <w:tcPr>
            <w:tcW w:w="40" w:type="dxa"/>
            <w:vAlign w:val="bottom"/>
          </w:tcPr>
          <w:p>
            <w:pPr>
              <w:spacing w:after="0"/>
              <w:rPr>
                <w:sz w:val="17"/>
                <w:szCs w:val="17"/>
                <w:color w:val="auto"/>
              </w:rPr>
            </w:pPr>
          </w:p>
        </w:tc>
      </w:tr>
      <w:tr>
        <w:trPr>
          <w:trHeight w:val="208"/>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Yuma</w:t>
            </w:r>
          </w:p>
        </w:tc>
        <w:tc>
          <w:tcPr>
            <w:tcW w:w="40" w:type="dxa"/>
            <w:vAlign w:val="bottom"/>
          </w:tcPr>
          <w:p>
            <w:pPr>
              <w:spacing w:after="0"/>
              <w:rPr>
                <w:sz w:val="18"/>
                <w:szCs w:val="18"/>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Rush Truck Centers of California,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Complete Rush Truck Centers</w:t>
            </w:r>
          </w:p>
        </w:tc>
        <w:tc>
          <w:tcPr>
            <w:tcW w:w="40" w:type="dxa"/>
            <w:vAlign w:val="bottom"/>
          </w:tcPr>
          <w:p>
            <w:pPr>
              <w:spacing w:after="0"/>
              <w:rPr>
                <w:sz w:val="16"/>
                <w:szCs w:val="16"/>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Isuzu Trucks, Fontana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Medium Duty Truck Center, Fontana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Pico Rivera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Pico Rivera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Fontana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Medium Duty Truck Center, Fontana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Fontana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Sylmar</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Sylmar</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Escondido</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Escondido</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El Centro</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El Centro</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San Diego</w:t>
            </w:r>
          </w:p>
        </w:tc>
        <w:tc>
          <w:tcPr>
            <w:tcW w:w="40" w:type="dxa"/>
            <w:vAlign w:val="bottom"/>
          </w:tcPr>
          <w:p>
            <w:pPr>
              <w:spacing w:after="0"/>
              <w:rPr>
                <w:sz w:val="17"/>
                <w:szCs w:val="17"/>
                <w:color w:val="auto"/>
              </w:rPr>
            </w:pPr>
          </w:p>
        </w:tc>
      </w:tr>
      <w:tr>
        <w:trPr>
          <w:trHeight w:val="209"/>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San Diego</w:t>
            </w:r>
          </w:p>
        </w:tc>
        <w:tc>
          <w:tcPr>
            <w:tcW w:w="40" w:type="dxa"/>
            <w:vAlign w:val="bottom"/>
          </w:tcPr>
          <w:p>
            <w:pPr>
              <w:spacing w:after="0"/>
              <w:rPr>
                <w:sz w:val="18"/>
                <w:szCs w:val="18"/>
                <w:color w:val="auto"/>
              </w:rPr>
            </w:pPr>
          </w:p>
        </w:tc>
      </w:tr>
      <w:tr>
        <w:trPr>
          <w:trHeight w:val="184"/>
        </w:trPr>
        <w:tc>
          <w:tcPr>
            <w:tcW w:w="4260" w:type="dxa"/>
            <w:vAlign w:val="bottom"/>
            <w:gridSpan w:val="2"/>
          </w:tcPr>
          <w:p>
            <w:pPr>
              <w:spacing w:after="0"/>
              <w:rPr>
                <w:sz w:val="20"/>
                <w:szCs w:val="20"/>
                <w:color w:val="auto"/>
              </w:rPr>
            </w:pPr>
            <w:r>
              <w:rPr>
                <w:rFonts w:ascii="Arial" w:cs="Arial" w:eastAsia="Arial" w:hAnsi="Arial"/>
                <w:sz w:val="16"/>
                <w:szCs w:val="16"/>
                <w:color w:val="auto"/>
              </w:rPr>
              <w:t>Rush Medium Duty Truck Centers of Colorado, Inc.</w:t>
            </w:r>
          </w:p>
        </w:tc>
        <w:tc>
          <w:tcPr>
            <w:tcW w:w="20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tcPr>
          <w:p>
            <w:pPr>
              <w:spacing w:after="0"/>
              <w:rPr>
                <w:sz w:val="20"/>
                <w:szCs w:val="20"/>
                <w:color w:val="auto"/>
              </w:rPr>
            </w:pPr>
            <w:r>
              <w:rPr>
                <w:rFonts w:ascii="Arial" w:cs="Arial" w:eastAsia="Arial" w:hAnsi="Arial"/>
                <w:sz w:val="16"/>
                <w:szCs w:val="16"/>
                <w:color w:val="auto"/>
              </w:rPr>
              <w:t>Rush Medium Duty Truck Center, Denver</w:t>
            </w:r>
          </w:p>
        </w:tc>
        <w:tc>
          <w:tcPr>
            <w:tcW w:w="40" w:type="dxa"/>
            <w:vAlign w:val="bottom"/>
          </w:tcPr>
          <w:p>
            <w:pPr>
              <w:spacing w:after="0"/>
              <w:rPr>
                <w:sz w:val="15"/>
                <w:szCs w:val="15"/>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Medium Duty Ford Trucks, Denver</w:t>
            </w:r>
          </w:p>
        </w:tc>
        <w:tc>
          <w:tcPr>
            <w:tcW w:w="40" w:type="dxa"/>
            <w:vAlign w:val="bottom"/>
          </w:tcPr>
          <w:p>
            <w:pPr>
              <w:spacing w:after="0"/>
              <w:rPr>
                <w:sz w:val="17"/>
                <w:szCs w:val="17"/>
                <w:color w:val="auto"/>
              </w:rPr>
            </w:pPr>
          </w:p>
        </w:tc>
      </w:tr>
      <w:tr>
        <w:trPr>
          <w:trHeight w:val="208"/>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Isuzu Trucks, Denver</w:t>
            </w:r>
          </w:p>
        </w:tc>
        <w:tc>
          <w:tcPr>
            <w:tcW w:w="40" w:type="dxa"/>
            <w:vAlign w:val="bottom"/>
          </w:tcPr>
          <w:p>
            <w:pPr>
              <w:spacing w:after="0"/>
              <w:rPr>
                <w:sz w:val="18"/>
                <w:szCs w:val="18"/>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Rush Truck Centers of Colorado,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Centers, Inc.</w:t>
            </w:r>
          </w:p>
        </w:tc>
        <w:tc>
          <w:tcPr>
            <w:tcW w:w="40" w:type="dxa"/>
            <w:vAlign w:val="bottom"/>
          </w:tcPr>
          <w:p>
            <w:pPr>
              <w:spacing w:after="0"/>
              <w:rPr>
                <w:sz w:val="16"/>
                <w:szCs w:val="16"/>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Denver</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Denver</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Greeley</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Greeley</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Pueblo</w:t>
            </w:r>
          </w:p>
        </w:tc>
        <w:tc>
          <w:tcPr>
            <w:tcW w:w="40" w:type="dxa"/>
            <w:vAlign w:val="bottom"/>
          </w:tcPr>
          <w:p>
            <w:pPr>
              <w:spacing w:after="0"/>
              <w:rPr>
                <w:sz w:val="17"/>
                <w:szCs w:val="17"/>
                <w:color w:val="auto"/>
              </w:rPr>
            </w:pPr>
          </w:p>
        </w:tc>
      </w:tr>
      <w:tr>
        <w:trPr>
          <w:trHeight w:val="209"/>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Pueblo</w:t>
            </w:r>
          </w:p>
        </w:tc>
        <w:tc>
          <w:tcPr>
            <w:tcW w:w="40" w:type="dxa"/>
            <w:vAlign w:val="bottom"/>
          </w:tcPr>
          <w:p>
            <w:pPr>
              <w:spacing w:after="0"/>
              <w:rPr>
                <w:sz w:val="18"/>
                <w:szCs w:val="18"/>
                <w:color w:val="auto"/>
              </w:rPr>
            </w:pPr>
          </w:p>
        </w:tc>
      </w:tr>
      <w:tr>
        <w:trPr>
          <w:trHeight w:val="184"/>
        </w:trPr>
        <w:tc>
          <w:tcPr>
            <w:tcW w:w="4260" w:type="dxa"/>
            <w:vAlign w:val="bottom"/>
            <w:gridSpan w:val="2"/>
          </w:tcPr>
          <w:p>
            <w:pPr>
              <w:spacing w:after="0"/>
              <w:rPr>
                <w:sz w:val="20"/>
                <w:szCs w:val="20"/>
                <w:color w:val="auto"/>
              </w:rPr>
            </w:pPr>
            <w:r>
              <w:rPr>
                <w:rFonts w:ascii="Arial" w:cs="Arial" w:eastAsia="Arial" w:hAnsi="Arial"/>
                <w:sz w:val="16"/>
                <w:szCs w:val="16"/>
                <w:color w:val="auto"/>
              </w:rPr>
              <w:t>Rush Truck Centers of Florida, Inc.</w:t>
            </w:r>
          </w:p>
        </w:tc>
        <w:tc>
          <w:tcPr>
            <w:tcW w:w="20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tcPr>
          <w:p>
            <w:pPr>
              <w:spacing w:after="0"/>
              <w:rPr>
                <w:sz w:val="20"/>
                <w:szCs w:val="20"/>
                <w:color w:val="auto"/>
              </w:rPr>
            </w:pPr>
            <w:r>
              <w:rPr>
                <w:rFonts w:ascii="Arial" w:cs="Arial" w:eastAsia="Arial" w:hAnsi="Arial"/>
                <w:sz w:val="16"/>
                <w:szCs w:val="16"/>
                <w:color w:val="auto"/>
              </w:rPr>
              <w:t>Rush Isuzu Trucks, Orlando</w:t>
            </w:r>
          </w:p>
        </w:tc>
        <w:tc>
          <w:tcPr>
            <w:tcW w:w="40" w:type="dxa"/>
            <w:vAlign w:val="bottom"/>
          </w:tcPr>
          <w:p>
            <w:pPr>
              <w:spacing w:after="0"/>
              <w:rPr>
                <w:sz w:val="15"/>
                <w:szCs w:val="15"/>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Isuzu Trucks, Winter Garden</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Orlando</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Winter Garden</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Winter Garden</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Haines City</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Haines City</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Tampa</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Tampa</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Jacksonville</w:t>
            </w:r>
          </w:p>
        </w:tc>
        <w:tc>
          <w:tcPr>
            <w:tcW w:w="40" w:type="dxa"/>
            <w:vAlign w:val="bottom"/>
          </w:tcPr>
          <w:p>
            <w:pPr>
              <w:spacing w:after="0"/>
              <w:rPr>
                <w:sz w:val="17"/>
                <w:szCs w:val="17"/>
                <w:color w:val="auto"/>
              </w:rPr>
            </w:pPr>
          </w:p>
        </w:tc>
      </w:tr>
      <w:tr>
        <w:trPr>
          <w:trHeight w:val="208"/>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Jacksonville</w:t>
            </w:r>
          </w:p>
        </w:tc>
        <w:tc>
          <w:tcPr>
            <w:tcW w:w="40" w:type="dxa"/>
            <w:vAlign w:val="bottom"/>
          </w:tcPr>
          <w:p>
            <w:pPr>
              <w:spacing w:after="0"/>
              <w:rPr>
                <w:sz w:val="18"/>
                <w:szCs w:val="18"/>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Rush Truck Centers of Georgia,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Medium Duty Truck Center, Atlanta</w:t>
            </w:r>
          </w:p>
        </w:tc>
        <w:tc>
          <w:tcPr>
            <w:tcW w:w="40" w:type="dxa"/>
            <w:vAlign w:val="bottom"/>
          </w:tcPr>
          <w:p>
            <w:pPr>
              <w:spacing w:after="0"/>
              <w:rPr>
                <w:sz w:val="16"/>
                <w:szCs w:val="16"/>
                <w:color w:val="auto"/>
              </w:rPr>
            </w:pPr>
          </w:p>
        </w:tc>
      </w:tr>
      <w:tr>
        <w:trPr>
          <w:trHeight w:val="209"/>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Isuzu Trucks, Atlanta</w:t>
            </w:r>
          </w:p>
        </w:tc>
        <w:tc>
          <w:tcPr>
            <w:tcW w:w="40" w:type="dxa"/>
            <w:vAlign w:val="bottom"/>
          </w:tcPr>
          <w:p>
            <w:pPr>
              <w:spacing w:after="0"/>
              <w:rPr>
                <w:sz w:val="18"/>
                <w:szCs w:val="18"/>
                <w:color w:val="auto"/>
              </w:rPr>
            </w:pPr>
          </w:p>
        </w:tc>
      </w:tr>
      <w:tr>
        <w:trPr>
          <w:trHeight w:val="340"/>
        </w:trPr>
        <w:tc>
          <w:tcPr>
            <w:tcW w:w="4260" w:type="dxa"/>
            <w:vAlign w:val="bottom"/>
            <w:tcBorders>
              <w:bottom w:val="single" w:sz="8" w:color="010101"/>
            </w:tcBorders>
            <w:gridSpan w:val="2"/>
          </w:tcPr>
          <w:p>
            <w:pPr>
              <w:spacing w:after="0"/>
              <w:rPr>
                <w:sz w:val="24"/>
                <w:szCs w:val="24"/>
                <w:color w:val="auto"/>
              </w:rPr>
            </w:pPr>
          </w:p>
        </w:tc>
        <w:tc>
          <w:tcPr>
            <w:tcW w:w="2020" w:type="dxa"/>
            <w:vAlign w:val="bottom"/>
            <w:tcBorders>
              <w:bottom w:val="single" w:sz="8" w:color="010101"/>
            </w:tcBorders>
            <w:gridSpan w:val="2"/>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315"/>
        </w:trPr>
        <w:tc>
          <w:tcPr>
            <w:tcW w:w="4260" w:type="dxa"/>
            <w:vAlign w:val="bottom"/>
            <w:gridSpan w:val="2"/>
          </w:tcPr>
          <w:p>
            <w:pPr>
              <w:spacing w:after="0"/>
              <w:rPr>
                <w:sz w:val="24"/>
                <w:szCs w:val="24"/>
                <w:color w:val="auto"/>
              </w:rPr>
            </w:pPr>
          </w:p>
        </w:tc>
        <w:tc>
          <w:tcPr>
            <w:tcW w:w="2020" w:type="dxa"/>
            <w:vAlign w:val="bottom"/>
            <w:gridSpan w:val="2"/>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Rush Truck Centers of New Mexico,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Albuquerque</w:t>
            </w:r>
          </w:p>
        </w:tc>
        <w:tc>
          <w:tcPr>
            <w:tcW w:w="40" w:type="dxa"/>
            <w:vAlign w:val="bottom"/>
          </w:tcPr>
          <w:p>
            <w:pPr>
              <w:spacing w:after="0"/>
              <w:rPr>
                <w:sz w:val="15"/>
                <w:szCs w:val="15"/>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Albuquerque</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Las Cruces</w:t>
            </w:r>
          </w:p>
        </w:tc>
        <w:tc>
          <w:tcPr>
            <w:tcW w:w="40" w:type="dxa"/>
            <w:vAlign w:val="bottom"/>
          </w:tcPr>
          <w:p>
            <w:pPr>
              <w:spacing w:after="0"/>
              <w:rPr>
                <w:sz w:val="17"/>
                <w:szCs w:val="17"/>
                <w:color w:val="auto"/>
              </w:rPr>
            </w:pPr>
          </w:p>
        </w:tc>
      </w:tr>
      <w:tr>
        <w:trPr>
          <w:trHeight w:val="209"/>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Las Cruces</w:t>
            </w:r>
          </w:p>
        </w:tc>
        <w:tc>
          <w:tcPr>
            <w:tcW w:w="40" w:type="dxa"/>
            <w:vAlign w:val="bottom"/>
          </w:tcPr>
          <w:p>
            <w:pPr>
              <w:spacing w:after="0"/>
              <w:rPr>
                <w:sz w:val="18"/>
                <w:szCs w:val="18"/>
                <w:color w:val="auto"/>
              </w:rPr>
            </w:pPr>
          </w:p>
        </w:tc>
      </w:tr>
      <w:tr>
        <w:trPr>
          <w:trHeight w:val="184"/>
        </w:trPr>
        <w:tc>
          <w:tcPr>
            <w:tcW w:w="4260" w:type="dxa"/>
            <w:vAlign w:val="bottom"/>
            <w:gridSpan w:val="2"/>
          </w:tcPr>
          <w:p>
            <w:pPr>
              <w:spacing w:after="0"/>
              <w:rPr>
                <w:sz w:val="20"/>
                <w:szCs w:val="20"/>
                <w:color w:val="auto"/>
              </w:rPr>
            </w:pPr>
            <w:r>
              <w:rPr>
                <w:rFonts w:ascii="Arial" w:cs="Arial" w:eastAsia="Arial" w:hAnsi="Arial"/>
                <w:sz w:val="16"/>
                <w:szCs w:val="16"/>
                <w:color w:val="auto"/>
              </w:rPr>
              <w:t>Rush Truck Centers of North Carolina, Inc.</w:t>
            </w:r>
          </w:p>
        </w:tc>
        <w:tc>
          <w:tcPr>
            <w:tcW w:w="20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tcPr>
          <w:p>
            <w:pPr>
              <w:spacing w:after="0"/>
              <w:rPr>
                <w:sz w:val="20"/>
                <w:szCs w:val="20"/>
                <w:color w:val="auto"/>
              </w:rPr>
            </w:pPr>
            <w:r>
              <w:rPr>
                <w:rFonts w:ascii="Arial" w:cs="Arial" w:eastAsia="Arial" w:hAnsi="Arial"/>
                <w:sz w:val="16"/>
                <w:szCs w:val="16"/>
                <w:color w:val="auto"/>
              </w:rPr>
              <w:t>Rush Collision Center, Charlotte</w:t>
            </w:r>
          </w:p>
        </w:tc>
        <w:tc>
          <w:tcPr>
            <w:tcW w:w="40" w:type="dxa"/>
            <w:vAlign w:val="bottom"/>
          </w:tcPr>
          <w:p>
            <w:pPr>
              <w:spacing w:after="0"/>
              <w:rPr>
                <w:sz w:val="15"/>
                <w:szCs w:val="15"/>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International Truck Center, Charlotte</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Isuzu Trucks, Charlotte</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Peterbilt Truck Center, Charlotte</w:t>
            </w:r>
          </w:p>
        </w:tc>
        <w:tc>
          <w:tcPr>
            <w:tcW w:w="4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Charlotte</w:t>
            </w:r>
          </w:p>
        </w:tc>
        <w:tc>
          <w:tcPr>
            <w:tcW w:w="40" w:type="dxa"/>
            <w:vAlign w:val="bottom"/>
          </w:tcPr>
          <w:p>
            <w:pPr>
              <w:spacing w:after="0"/>
              <w:rPr>
                <w:sz w:val="17"/>
                <w:szCs w:val="17"/>
                <w:color w:val="auto"/>
              </w:rPr>
            </w:pPr>
          </w:p>
        </w:tc>
      </w:tr>
      <w:tr>
        <w:trPr>
          <w:trHeight w:val="208"/>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Rush Truck Center Body Shop, Charlotte</w:t>
            </w:r>
          </w:p>
        </w:tc>
        <w:tc>
          <w:tcPr>
            <w:tcW w:w="40" w:type="dxa"/>
            <w:vAlign w:val="bottom"/>
          </w:tcPr>
          <w:p>
            <w:pPr>
              <w:spacing w:after="0"/>
              <w:rPr>
                <w:sz w:val="18"/>
                <w:szCs w:val="18"/>
                <w:color w:val="auto"/>
              </w:rPr>
            </w:pPr>
          </w:p>
        </w:tc>
      </w:tr>
      <w:tr>
        <w:trPr>
          <w:trHeight w:val="184"/>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Rush Truck Centers of Oklahoma,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Ardmore</w:t>
            </w:r>
          </w:p>
        </w:tc>
        <w:tc>
          <w:tcPr>
            <w:tcW w:w="40" w:type="dxa"/>
            <w:vAlign w:val="bottom"/>
          </w:tcPr>
          <w:p>
            <w:pPr>
              <w:spacing w:after="0"/>
              <w:rPr>
                <w:sz w:val="16"/>
                <w:szCs w:val="16"/>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Oklahoma City</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Peterbilt Truck Center, Tulsa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Ardmore</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Oklahoma City</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Tulsa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Volvo Truck Center, Oklahoma City</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Volvo Truck Center, Tulsa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Used Truck Center, Tulsa</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Rush Truck Rigging</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Perfection Equipment</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Perfection Truck Parts &amp; Equipment, Oklahoma City Perfection Truck</w:t>
            </w:r>
          </w:p>
        </w:tc>
        <w:tc>
          <w:tcPr>
            <w:tcW w:w="40" w:type="dxa"/>
            <w:vAlign w:val="bottom"/>
          </w:tcPr>
          <w:p>
            <w:pPr>
              <w:spacing w:after="0"/>
              <w:rPr>
                <w:sz w:val="17"/>
                <w:szCs w:val="17"/>
                <w:color w:val="auto"/>
              </w:rPr>
            </w:pPr>
          </w:p>
        </w:tc>
      </w:tr>
      <w:tr>
        <w:trPr>
          <w:trHeight w:val="196"/>
        </w:trPr>
        <w:tc>
          <w:tcPr>
            <w:tcW w:w="4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Parts &amp; Equipment, Tulsa</w:t>
            </w:r>
          </w:p>
        </w:tc>
        <w:tc>
          <w:tcPr>
            <w:tcW w:w="40" w:type="dxa"/>
            <w:vAlign w:val="bottom"/>
          </w:tcPr>
          <w:p>
            <w:pPr>
              <w:spacing w:after="0"/>
              <w:rPr>
                <w:sz w:val="17"/>
                <w:szCs w:val="17"/>
                <w:color w:val="auto"/>
              </w:rPr>
            </w:pPr>
          </w:p>
        </w:tc>
      </w:tr>
      <w:tr>
        <w:trPr>
          <w:trHeight w:val="208"/>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Translease</w:t>
            </w:r>
          </w:p>
        </w:tc>
        <w:tc>
          <w:tcPr>
            <w:tcW w:w="40" w:type="dxa"/>
            <w:vAlign w:val="bottom"/>
          </w:tcPr>
          <w:p>
            <w:pPr>
              <w:spacing w:after="0"/>
              <w:rPr>
                <w:sz w:val="18"/>
                <w:szCs w:val="18"/>
                <w:color w:val="auto"/>
              </w:rPr>
            </w:pPr>
          </w:p>
        </w:tc>
      </w:tr>
      <w:tr>
        <w:trPr>
          <w:trHeight w:val="39"/>
        </w:trPr>
        <w:tc>
          <w:tcPr>
            <w:tcW w:w="4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-3242945</wp:posOffset>
            </wp:positionV>
            <wp:extent cx="12700" cy="28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-3242945</wp:posOffset>
            </wp:positionV>
            <wp:extent cx="12700" cy="28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900" w:orient="portrait"/>
          <w:cols w:equalWidth="0" w:num="1">
            <w:col w:w="11460"/>
          </w:cols>
          <w:pgMar w:left="240" w:top="123" w:right="199" w:bottom="0" w:gutter="0" w:footer="0" w:header="0"/>
        </w:sectPr>
      </w:pPr>
    </w:p>
    <w:bookmarkStart w:id="50" w:name="page51"/>
    <w:bookmarkEnd w:id="5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Oklahoma Trucks, Inc.</w:t>
            </w:r>
          </w:p>
        </w:tc>
        <w:tc>
          <w:tcPr>
            <w:tcW w:w="40" w:type="dxa"/>
            <w:vAlign w:val="bottom"/>
          </w:tcPr>
          <w:p>
            <w:pPr>
              <w:spacing w:after="0"/>
              <w:rPr>
                <w:sz w:val="16"/>
                <w:szCs w:val="16"/>
                <w:color w:val="auto"/>
              </w:rPr>
            </w:pPr>
          </w:p>
        </w:tc>
      </w:tr>
      <w:tr>
        <w:trPr>
          <w:trHeight w:val="209"/>
        </w:trPr>
        <w:tc>
          <w:tcPr>
            <w:tcW w:w="35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Tulsa Trucks, Inc.</w:t>
            </w:r>
          </w:p>
        </w:tc>
        <w:tc>
          <w:tcPr>
            <w:tcW w:w="40" w:type="dxa"/>
            <w:vAlign w:val="bottom"/>
          </w:tcPr>
          <w:p>
            <w:pPr>
              <w:spacing w:after="0"/>
              <w:rPr>
                <w:sz w:val="18"/>
                <w:szCs w:val="18"/>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Rush Truck Centers of Tennessee,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Rush Truck Center, Nashville</w:t>
            </w:r>
          </w:p>
        </w:tc>
        <w:tc>
          <w:tcPr>
            <w:tcW w:w="40" w:type="dxa"/>
            <w:vAlign w:val="bottom"/>
          </w:tcPr>
          <w:p>
            <w:pPr>
              <w:spacing w:after="0"/>
              <w:rPr>
                <w:sz w:val="15"/>
                <w:szCs w:val="15"/>
                <w:color w:val="auto"/>
              </w:rPr>
            </w:pPr>
          </w:p>
        </w:tc>
      </w:tr>
      <w:tr>
        <w:trPr>
          <w:trHeight w:val="208"/>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720" w:type="dxa"/>
            <w:vAlign w:val="bottom"/>
          </w:tcPr>
          <w:p>
            <w:pPr>
              <w:ind w:left="580"/>
              <w:spacing w:after="0"/>
              <w:rPr>
                <w:sz w:val="20"/>
                <w:szCs w:val="20"/>
                <w:color w:val="auto"/>
              </w:rPr>
            </w:pPr>
            <w:r>
              <w:rPr>
                <w:rFonts w:ascii="Arial" w:cs="Arial" w:eastAsia="Arial" w:hAnsi="Arial"/>
                <w:sz w:val="16"/>
                <w:szCs w:val="16"/>
                <w:color w:val="auto"/>
              </w:rPr>
              <w:t>Rush Peterbilt Truck Center, Nashville</w:t>
            </w:r>
          </w:p>
        </w:tc>
        <w:tc>
          <w:tcPr>
            <w:tcW w:w="40" w:type="dxa"/>
            <w:vAlign w:val="bottom"/>
          </w:tcPr>
          <w:p>
            <w:pPr>
              <w:spacing w:after="0"/>
              <w:rPr>
                <w:sz w:val="18"/>
                <w:szCs w:val="18"/>
                <w:color w:val="auto"/>
              </w:rPr>
            </w:pPr>
          </w:p>
        </w:tc>
      </w:tr>
      <w:tr>
        <w:trPr>
          <w:trHeight w:val="184"/>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Centers of Texas, L.P.</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Texas</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Houston Peterbilt, Inc.</w:t>
            </w:r>
          </w:p>
        </w:tc>
        <w:tc>
          <w:tcPr>
            <w:tcW w:w="40" w:type="dxa"/>
            <w:vAlign w:val="bottom"/>
          </w:tcPr>
          <w:p>
            <w:pPr>
              <w:spacing w:after="0"/>
              <w:rPr>
                <w:sz w:val="16"/>
                <w:szCs w:val="16"/>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Laredo Peterbilt, Inc.</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Lufkin Peterbilt, Inc.</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Alice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Austin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Dallas</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Dallas, Number 2</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Fort Worth</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Houston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Laredo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Lufkin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Pharr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San Antonio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San Antonio, Number 2</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Sealy</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Texarkana</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Tyler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Bus Center, Waco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GMC Truck Center of El Paso, Inc.</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Isuzu Trucks, Austin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Isuzu Trucks, Texarkana</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Isuzu Trucks, Waco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Medium Duty Truck Center, Dallas</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Medium Duty Truck Center, Waco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Abilene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Alice</w:t>
            </w:r>
          </w:p>
        </w:tc>
        <w:tc>
          <w:tcPr>
            <w:tcW w:w="40" w:type="dxa"/>
            <w:vAlign w:val="bottom"/>
          </w:tcPr>
          <w:p>
            <w:pPr>
              <w:spacing w:after="0"/>
              <w:rPr>
                <w:sz w:val="17"/>
                <w:szCs w:val="17"/>
                <w:color w:val="auto"/>
              </w:rPr>
            </w:pPr>
          </w:p>
        </w:tc>
      </w:tr>
      <w:tr>
        <w:trPr>
          <w:trHeight w:val="209"/>
        </w:trPr>
        <w:tc>
          <w:tcPr>
            <w:tcW w:w="35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Austin</w:t>
            </w:r>
          </w:p>
        </w:tc>
        <w:tc>
          <w:tcPr>
            <w:tcW w:w="40" w:type="dxa"/>
            <w:vAlign w:val="bottom"/>
          </w:tcPr>
          <w:p>
            <w:pPr>
              <w:spacing w:after="0"/>
              <w:rPr>
                <w:sz w:val="18"/>
                <w:szCs w:val="18"/>
                <w:color w:val="auto"/>
              </w:rPr>
            </w:pPr>
          </w:p>
        </w:tc>
      </w:tr>
      <w:tr>
        <w:trPr>
          <w:trHeight w:val="340"/>
        </w:trPr>
        <w:tc>
          <w:tcPr>
            <w:tcW w:w="358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315"/>
        </w:trPr>
        <w:tc>
          <w:tcPr>
            <w:tcW w:w="3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35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Dallas</w:t>
            </w:r>
          </w:p>
        </w:tc>
        <w:tc>
          <w:tcPr>
            <w:tcW w:w="40" w:type="dxa"/>
            <w:vAlign w:val="bottom"/>
          </w:tcPr>
          <w:p>
            <w:pPr>
              <w:spacing w:after="0"/>
              <w:rPr>
                <w:sz w:val="15"/>
                <w:szCs w:val="15"/>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El Paso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Fort Worth</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Houston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Laredo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Lufkin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Pharr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San Antonio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Sealy</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Texarkana</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Tyler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Peterbilt Truck Center, Waco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Abilene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Alice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Austin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Dallas</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El Paso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Fort Worth</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Houston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Laredo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Lufkin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Pharr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San Antonio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Sealy</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Texarkana</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Tyler</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Truck Center, Waco</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Used Truck Center, Austin</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Crane and Refuse Systems International</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San Antonio Peterbilt, Inc.</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San Antonio Peterbilt-GMC Truck, Inc. Translease</w:t>
            </w:r>
          </w:p>
        </w:tc>
        <w:tc>
          <w:tcPr>
            <w:tcW w:w="40" w:type="dxa"/>
            <w:vAlign w:val="bottom"/>
          </w:tcPr>
          <w:p>
            <w:pPr>
              <w:spacing w:after="0"/>
              <w:rPr>
                <w:sz w:val="17"/>
                <w:szCs w:val="17"/>
                <w:color w:val="auto"/>
              </w:rPr>
            </w:pPr>
          </w:p>
        </w:tc>
      </w:tr>
      <w:tr>
        <w:trPr>
          <w:trHeight w:val="209"/>
        </w:trPr>
        <w:tc>
          <w:tcPr>
            <w:tcW w:w="35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World Wide Tires</w:t>
            </w:r>
          </w:p>
        </w:tc>
        <w:tc>
          <w:tcPr>
            <w:tcW w:w="40" w:type="dxa"/>
            <w:vAlign w:val="bottom"/>
          </w:tcPr>
          <w:p>
            <w:pPr>
              <w:spacing w:after="0"/>
              <w:rPr>
                <w:sz w:val="18"/>
                <w:szCs w:val="18"/>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Rig Tough,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 Truck Center of Albuquerque,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New Mexico</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Rush GMC Truck Center of El Paso,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 GMC Truck Center of Phoenix,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Rush GMC Truck Center of San Diego,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 GMC Truck Center of Tucson,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Rush Accessories Corporation</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Chrome Country, Inc.</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 Truck Leasing,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Rush Crane Systems</w:t>
            </w:r>
          </w:p>
        </w:tc>
        <w:tc>
          <w:tcPr>
            <w:tcW w:w="40" w:type="dxa"/>
            <w:vAlign w:val="bottom"/>
          </w:tcPr>
          <w:p>
            <w:pPr>
              <w:spacing w:after="0"/>
              <w:rPr>
                <w:sz w:val="17"/>
                <w:szCs w:val="17"/>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Rush Equipment Centers of Texas,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Rush Equipment Center, Houston</w:t>
            </w:r>
          </w:p>
        </w:tc>
        <w:tc>
          <w:tcPr>
            <w:tcW w:w="40" w:type="dxa"/>
            <w:vAlign w:val="bottom"/>
          </w:tcPr>
          <w:p>
            <w:pPr>
              <w:spacing w:after="0"/>
              <w:rPr>
                <w:sz w:val="15"/>
                <w:szCs w:val="15"/>
                <w:color w:val="auto"/>
              </w:rPr>
            </w:pPr>
          </w:p>
        </w:tc>
      </w:tr>
      <w:tr>
        <w:trPr>
          <w:trHeight w:val="208"/>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720" w:type="dxa"/>
            <w:vAlign w:val="bottom"/>
          </w:tcPr>
          <w:p>
            <w:pPr>
              <w:ind w:left="580"/>
              <w:spacing w:after="0"/>
              <w:rPr>
                <w:sz w:val="20"/>
                <w:szCs w:val="20"/>
                <w:color w:val="auto"/>
              </w:rPr>
            </w:pPr>
            <w:r>
              <w:rPr>
                <w:rFonts w:ascii="Arial" w:cs="Arial" w:eastAsia="Arial" w:hAnsi="Arial"/>
                <w:sz w:val="16"/>
                <w:szCs w:val="16"/>
                <w:color w:val="auto"/>
              </w:rPr>
              <w:t>Rush Equipment Rental Center, San Antonio</w:t>
            </w:r>
          </w:p>
        </w:tc>
        <w:tc>
          <w:tcPr>
            <w:tcW w:w="40" w:type="dxa"/>
            <w:vAlign w:val="bottom"/>
          </w:tcPr>
          <w:p>
            <w:pPr>
              <w:spacing w:after="0"/>
              <w:rPr>
                <w:sz w:val="18"/>
                <w:szCs w:val="18"/>
                <w:color w:val="auto"/>
              </w:rPr>
            </w:pPr>
          </w:p>
        </w:tc>
      </w:tr>
      <w:tr>
        <w:trPr>
          <w:trHeight w:val="197"/>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Rushtex,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Rushco,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Rush Administrative Services,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Rush Real Estate Holdings,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General Agency</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Texas</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580" w:type="dxa"/>
            <w:vAlign w:val="bottom"/>
          </w:tcPr>
          <w:p>
            <w:pPr>
              <w:spacing w:after="0"/>
              <w:rPr>
                <w:sz w:val="20"/>
                <w:szCs w:val="20"/>
                <w:color w:val="auto"/>
              </w:rPr>
            </w:pPr>
            <w:r>
              <w:rPr>
                <w:rFonts w:ascii="Arial" w:cs="Arial" w:eastAsia="Arial" w:hAnsi="Arial"/>
                <w:sz w:val="16"/>
                <w:szCs w:val="16"/>
                <w:color w:val="auto"/>
              </w:rPr>
              <w:t>Los Cuernos, Inc.</w:t>
            </w:r>
          </w:p>
        </w:tc>
        <w:tc>
          <w:tcPr>
            <w:tcW w:w="2120" w:type="dxa"/>
            <w:vAlign w:val="bottom"/>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tcPr>
          <w:p>
            <w:pPr>
              <w:ind w:left="580"/>
              <w:spacing w:after="0"/>
              <w:rPr>
                <w:sz w:val="20"/>
                <w:szCs w:val="20"/>
                <w:color w:val="auto"/>
              </w:rPr>
            </w:pPr>
            <w:r>
              <w:rPr>
                <w:rFonts w:ascii="Arial" w:cs="Arial" w:eastAsia="Arial" w:hAnsi="Arial"/>
                <w:sz w:val="16"/>
                <w:szCs w:val="16"/>
                <w:color w:val="auto"/>
              </w:rPr>
              <w:t>Los Cuernos Ranch</w:t>
            </w:r>
          </w:p>
        </w:tc>
        <w:tc>
          <w:tcPr>
            <w:tcW w:w="40" w:type="dxa"/>
            <w:vAlign w:val="bottom"/>
          </w:tcPr>
          <w:p>
            <w:pPr>
              <w:spacing w:after="0"/>
              <w:rPr>
                <w:sz w:val="17"/>
                <w:szCs w:val="17"/>
                <w:color w:val="auto"/>
              </w:rPr>
            </w:pPr>
          </w:p>
        </w:tc>
      </w:tr>
      <w:tr>
        <w:trPr>
          <w:trHeight w:val="185"/>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AiRush, Inc.</w:t>
            </w:r>
          </w:p>
        </w:tc>
        <w:tc>
          <w:tcPr>
            <w:tcW w:w="21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Delaware</w:t>
            </w:r>
          </w:p>
        </w:tc>
        <w:tc>
          <w:tcPr>
            <w:tcW w:w="57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-6451600</wp:posOffset>
            </wp:positionV>
            <wp:extent cx="12700"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-6451600</wp:posOffset>
            </wp:positionV>
            <wp:extent cx="12700" cy="28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900" w:orient="portrait"/>
          <w:cols w:equalWidth="0" w:num="1">
            <w:col w:w="11460"/>
          </w:cols>
          <w:pgMar w:left="240" w:top="139" w:right="19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8"/>
        </w:trPr>
        <w:tc>
          <w:tcPr>
            <w:tcW w:w="3420" w:type="dxa"/>
            <w:vAlign w:val="bottom"/>
          </w:tcPr>
          <w:p>
            <w:pPr>
              <w:spacing w:after="0"/>
              <w:rPr>
                <w:sz w:val="20"/>
                <w:szCs w:val="20"/>
                <w:color w:val="auto"/>
              </w:rPr>
            </w:pPr>
            <w:r>
              <w:rPr>
                <w:rFonts w:ascii="Arial" w:cs="Arial" w:eastAsia="Arial" w:hAnsi="Arial"/>
                <w:sz w:val="16"/>
                <w:szCs w:val="16"/>
                <w:color w:val="auto"/>
              </w:rPr>
              <w:t>Rush Retail Centers, Inc.</w:t>
            </w:r>
          </w:p>
        </w:tc>
        <w:tc>
          <w:tcPr>
            <w:tcW w:w="2360" w:type="dxa"/>
            <w:vAlign w:val="bottom"/>
          </w:tcPr>
          <w:p>
            <w:pPr>
              <w:ind w:left="860"/>
              <w:spacing w:after="0"/>
              <w:rPr>
                <w:sz w:val="20"/>
                <w:szCs w:val="20"/>
                <w:color w:val="auto"/>
              </w:rPr>
            </w:pPr>
            <w:r>
              <w:rPr>
                <w:rFonts w:ascii="Arial" w:cs="Arial" w:eastAsia="Arial" w:hAnsi="Arial"/>
                <w:sz w:val="16"/>
                <w:szCs w:val="16"/>
                <w:color w:val="auto"/>
              </w:rPr>
              <w:t>Delaware</w:t>
            </w:r>
          </w:p>
        </w:tc>
        <w:tc>
          <w:tcPr>
            <w:tcW w:w="5640" w:type="dxa"/>
            <w:vAlign w:val="bottom"/>
          </w:tcPr>
          <w:p>
            <w:pPr>
              <w:ind w:left="50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8"/>
                <w:szCs w:val="18"/>
                <w:color w:val="auto"/>
              </w:rPr>
            </w:pPr>
          </w:p>
        </w:tc>
      </w:tr>
      <w:tr>
        <w:trPr>
          <w:trHeight w:val="18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Associated Acceptance, Inc.</w:t>
            </w:r>
          </w:p>
        </w:tc>
        <w:tc>
          <w:tcPr>
            <w:tcW w:w="2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Texas</w:t>
            </w:r>
          </w:p>
        </w:tc>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Associated Insurance Services</w:t>
            </w:r>
          </w:p>
        </w:tc>
        <w:tc>
          <w:tcPr>
            <w:tcW w:w="40" w:type="dxa"/>
            <w:vAlign w:val="bottom"/>
          </w:tcPr>
          <w:p>
            <w:pPr>
              <w:spacing w:after="0"/>
              <w:rPr>
                <w:sz w:val="16"/>
                <w:szCs w:val="16"/>
                <w:color w:val="auto"/>
              </w:rPr>
            </w:pPr>
          </w:p>
        </w:tc>
      </w:tr>
      <w:tr>
        <w:trPr>
          <w:trHeight w:val="196"/>
        </w:trPr>
        <w:tc>
          <w:tcPr>
            <w:tcW w:w="34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Associated Truck Insurance Services</w:t>
            </w:r>
          </w:p>
        </w:tc>
        <w:tc>
          <w:tcPr>
            <w:tcW w:w="40" w:type="dxa"/>
            <w:vAlign w:val="bottom"/>
          </w:tcPr>
          <w:p>
            <w:pPr>
              <w:spacing w:after="0"/>
              <w:rPr>
                <w:sz w:val="17"/>
                <w:szCs w:val="17"/>
                <w:color w:val="auto"/>
              </w:rPr>
            </w:pPr>
          </w:p>
        </w:tc>
      </w:tr>
      <w:tr>
        <w:trPr>
          <w:trHeight w:val="209"/>
        </w:trPr>
        <w:tc>
          <w:tcPr>
            <w:tcW w:w="3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Automotive Industry Insurance</w:t>
            </w:r>
          </w:p>
        </w:tc>
        <w:tc>
          <w:tcPr>
            <w:tcW w:w="40" w:type="dxa"/>
            <w:vAlign w:val="bottom"/>
          </w:tcPr>
          <w:p>
            <w:pPr>
              <w:spacing w:after="0"/>
              <w:rPr>
                <w:sz w:val="18"/>
                <w:szCs w:val="18"/>
                <w:color w:val="auto"/>
              </w:rPr>
            </w:pPr>
          </w:p>
        </w:tc>
      </w:tr>
      <w:tr>
        <w:trPr>
          <w:trHeight w:val="208"/>
        </w:trPr>
        <w:tc>
          <w:tcPr>
            <w:tcW w:w="3420" w:type="dxa"/>
            <w:vAlign w:val="bottom"/>
          </w:tcPr>
          <w:p>
            <w:pPr>
              <w:spacing w:after="0"/>
              <w:rPr>
                <w:sz w:val="20"/>
                <w:szCs w:val="20"/>
                <w:color w:val="auto"/>
              </w:rPr>
            </w:pPr>
            <w:r>
              <w:rPr>
                <w:rFonts w:ascii="Arial" w:cs="Arial" w:eastAsia="Arial" w:hAnsi="Arial"/>
                <w:sz w:val="16"/>
                <w:szCs w:val="16"/>
                <w:color w:val="auto"/>
              </w:rPr>
              <w:t>Associated Acceptance of Florida, Inc.</w:t>
            </w:r>
          </w:p>
        </w:tc>
        <w:tc>
          <w:tcPr>
            <w:tcW w:w="2360" w:type="dxa"/>
            <w:vAlign w:val="bottom"/>
          </w:tcPr>
          <w:p>
            <w:pPr>
              <w:ind w:left="860"/>
              <w:spacing w:after="0"/>
              <w:rPr>
                <w:sz w:val="20"/>
                <w:szCs w:val="20"/>
                <w:color w:val="auto"/>
              </w:rPr>
            </w:pPr>
            <w:r>
              <w:rPr>
                <w:rFonts w:ascii="Arial" w:cs="Arial" w:eastAsia="Arial" w:hAnsi="Arial"/>
                <w:sz w:val="16"/>
                <w:szCs w:val="16"/>
                <w:color w:val="auto"/>
              </w:rPr>
              <w:t>Delaware</w:t>
            </w:r>
          </w:p>
        </w:tc>
        <w:tc>
          <w:tcPr>
            <w:tcW w:w="5640" w:type="dxa"/>
            <w:vAlign w:val="bottom"/>
          </w:tcPr>
          <w:p>
            <w:pPr>
              <w:ind w:left="50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8"/>
                <w:szCs w:val="18"/>
                <w:color w:val="auto"/>
              </w:rPr>
            </w:pPr>
          </w:p>
        </w:tc>
      </w:tr>
      <w:tr>
        <w:trPr>
          <w:trHeight w:val="328"/>
        </w:trPr>
        <w:tc>
          <w:tcPr>
            <w:tcW w:w="3420" w:type="dxa"/>
            <w:vAlign w:val="bottom"/>
            <w:tcBorders>
              <w:bottom w:val="single" w:sz="8" w:color="010101"/>
            </w:tcBorders>
          </w:tcPr>
          <w:p>
            <w:pPr>
              <w:spacing w:after="0"/>
              <w:rPr>
                <w:sz w:val="24"/>
                <w:szCs w:val="24"/>
                <w:color w:val="auto"/>
              </w:rPr>
            </w:pPr>
          </w:p>
        </w:tc>
        <w:tc>
          <w:tcPr>
            <w:tcW w:w="236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315"/>
        </w:trPr>
        <w:tc>
          <w:tcPr>
            <w:tcW w:w="3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Advance Premium Finance, Inc.</w:t>
            </w:r>
          </w:p>
        </w:tc>
        <w:tc>
          <w:tcPr>
            <w:tcW w:w="2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California</w:t>
            </w:r>
          </w:p>
        </w:tc>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6"/>
                <w:szCs w:val="16"/>
                <w:color w:val="auto"/>
              </w:rPr>
              <w:t>Adams International Trucks, Inc.</w:t>
            </w:r>
          </w:p>
        </w:tc>
        <w:tc>
          <w:tcPr>
            <w:tcW w:w="2360" w:type="dxa"/>
            <w:vAlign w:val="bottom"/>
          </w:tcPr>
          <w:p>
            <w:pPr>
              <w:ind w:left="860"/>
              <w:spacing w:after="0"/>
              <w:rPr>
                <w:sz w:val="20"/>
                <w:szCs w:val="20"/>
                <w:color w:val="auto"/>
              </w:rPr>
            </w:pPr>
            <w:r>
              <w:rPr>
                <w:rFonts w:ascii="Arial" w:cs="Arial" w:eastAsia="Arial" w:hAnsi="Arial"/>
                <w:sz w:val="16"/>
                <w:szCs w:val="16"/>
                <w:color w:val="auto"/>
              </w:rPr>
              <w:t>Delaware</w:t>
            </w:r>
          </w:p>
        </w:tc>
        <w:tc>
          <w:tcPr>
            <w:tcW w:w="5640" w:type="dxa"/>
            <w:vAlign w:val="bottom"/>
          </w:tcPr>
          <w:p>
            <w:pPr>
              <w:ind w:left="50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196"/>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Carolina Truck Parts, LLC</w:t>
            </w:r>
          </w:p>
        </w:tc>
        <w:tc>
          <w:tcPr>
            <w:tcW w:w="23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South Carolina</w:t>
            </w:r>
          </w:p>
        </w:tc>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None</w:t>
            </w:r>
          </w:p>
        </w:tc>
        <w:tc>
          <w:tcPr>
            <w:tcW w:w="40" w:type="dxa"/>
            <w:vAlign w:val="bottom"/>
          </w:tcPr>
          <w:p>
            <w:pPr>
              <w:spacing w:after="0"/>
              <w:rPr>
                <w:sz w:val="17"/>
                <w:szCs w:val="17"/>
                <w:color w:val="auto"/>
              </w:rPr>
            </w:pPr>
          </w:p>
        </w:tc>
      </w:tr>
      <w:tr>
        <w:trPr>
          <w:trHeight w:val="315"/>
        </w:trPr>
        <w:tc>
          <w:tcPr>
            <w:tcW w:w="3420" w:type="dxa"/>
            <w:vAlign w:val="bottom"/>
            <w:tcBorders>
              <w:bottom w:val="single" w:sz="8" w:color="010101"/>
            </w:tcBorders>
          </w:tcPr>
          <w:p>
            <w:pPr>
              <w:spacing w:after="0"/>
              <w:rPr>
                <w:sz w:val="24"/>
                <w:szCs w:val="24"/>
                <w:color w:val="auto"/>
              </w:rPr>
            </w:pPr>
          </w:p>
        </w:tc>
        <w:tc>
          <w:tcPr>
            <w:tcW w:w="236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-814070</wp:posOffset>
            </wp:positionV>
            <wp:extent cx="12700"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-814070</wp:posOffset>
            </wp:positionV>
            <wp:extent cx="12700" cy="28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23.1</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9" w:lineRule="exact"/>
        <w:rPr>
          <w:sz w:val="20"/>
          <w:szCs w:val="20"/>
          <w:color w:val="auto"/>
        </w:rPr>
      </w:pPr>
    </w:p>
    <w:p>
      <w:pPr>
        <w:ind w:left="2" w:right="80"/>
        <w:spacing w:after="0" w:line="271" w:lineRule="auto"/>
        <w:rPr>
          <w:sz w:val="20"/>
          <w:szCs w:val="20"/>
          <w:color w:val="auto"/>
        </w:rPr>
      </w:pPr>
      <w:r>
        <w:rPr>
          <w:rFonts w:ascii="Arial" w:cs="Arial" w:eastAsia="Arial" w:hAnsi="Arial"/>
          <w:sz w:val="16"/>
          <w:szCs w:val="16"/>
          <w:color w:val="auto"/>
        </w:rPr>
        <w:t>We consent to the incorporation by reference of our reports dated March 10, 2009, with respect to the consolidated financial statements of Rush Enterprises, Inc. and the effectiveness of Rush Enterprises, Inc.’s internal control over financial reporting, included in the this Annual Report (Form 10-K) of Rush Enterprises, Inc. for the year ended December 31, 2008.</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09" w:lineRule="exact"/>
        <w:rPr>
          <w:sz w:val="20"/>
          <w:szCs w:val="20"/>
          <w:color w:val="auto"/>
        </w:rPr>
      </w:pPr>
    </w:p>
    <w:p>
      <w:pPr>
        <w:ind w:left="302" w:hanging="302"/>
        <w:spacing w:after="0"/>
        <w:tabs>
          <w:tab w:leader="none" w:pos="3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333-144821) pertaining to the Rush Enterprises, Inc. 2007 Long-Term Incentive Plan;</w:t>
      </w:r>
    </w:p>
    <w:p>
      <w:pPr>
        <w:spacing w:after="0" w:line="208" w:lineRule="exact"/>
        <w:rPr>
          <w:rFonts w:ascii="Arial" w:cs="Arial" w:eastAsia="Arial" w:hAnsi="Arial"/>
          <w:sz w:val="16"/>
          <w:szCs w:val="16"/>
          <w:color w:val="auto"/>
        </w:rPr>
      </w:pPr>
    </w:p>
    <w:p>
      <w:pPr>
        <w:ind w:left="302" w:hanging="302"/>
        <w:spacing w:after="0"/>
        <w:tabs>
          <w:tab w:leader="none" w:pos="302"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Registration Statement (Form S-8 No. 333-138557) pertaining to the Rush Enterprises, Inc. Amended and Restated 1997 Non-Employee Director Stock Option Plan;</w:t>
      </w:r>
    </w:p>
    <w:p>
      <w:pPr>
        <w:spacing w:after="0" w:line="220" w:lineRule="exact"/>
        <w:rPr>
          <w:rFonts w:ascii="Arial" w:cs="Arial" w:eastAsia="Arial" w:hAnsi="Arial"/>
          <w:sz w:val="15"/>
          <w:szCs w:val="15"/>
          <w:color w:val="auto"/>
        </w:rPr>
      </w:pPr>
    </w:p>
    <w:p>
      <w:pPr>
        <w:ind w:left="302" w:hanging="302"/>
        <w:spacing w:after="0"/>
        <w:tabs>
          <w:tab w:leader="none" w:pos="3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333-138556) pertaining to the Rush Enterprises, Inc. 2006 Non-Employee Director Stock Option Plan;</w:t>
      </w:r>
    </w:p>
    <w:p>
      <w:pPr>
        <w:spacing w:after="0" w:line="208" w:lineRule="exact"/>
        <w:rPr>
          <w:rFonts w:ascii="Arial" w:cs="Arial" w:eastAsia="Arial" w:hAnsi="Arial"/>
          <w:sz w:val="16"/>
          <w:szCs w:val="16"/>
          <w:color w:val="auto"/>
        </w:rPr>
      </w:pPr>
    </w:p>
    <w:p>
      <w:pPr>
        <w:ind w:left="302" w:right="140" w:hanging="302"/>
        <w:spacing w:after="0" w:line="286" w:lineRule="auto"/>
        <w:tabs>
          <w:tab w:leader="none" w:pos="3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333-121355) pertaining to the Rush Enterprises, Inc. Long-Term Incentive Plan, the Rush Enterprises, Inc. 2004 Employee Stock Purchase Plan and Certain Non-Plan Options;</w:t>
      </w:r>
    </w:p>
    <w:p>
      <w:pPr>
        <w:spacing w:after="0" w:line="150" w:lineRule="exact"/>
        <w:rPr>
          <w:rFonts w:ascii="Arial" w:cs="Arial" w:eastAsia="Arial" w:hAnsi="Arial"/>
          <w:sz w:val="16"/>
          <w:szCs w:val="16"/>
          <w:color w:val="auto"/>
        </w:rPr>
      </w:pPr>
    </w:p>
    <w:p>
      <w:pPr>
        <w:ind w:left="302" w:right="100" w:hanging="302"/>
        <w:spacing w:after="0" w:line="286" w:lineRule="auto"/>
        <w:tabs>
          <w:tab w:leader="none" w:pos="3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333-117305) pertaining to the Rush Enterprises, Inc. Amended and Restated 1997 Non-Employee Director Stock Option Plan and the Rush Enterprises, Inc. Long-Term Incentive Plan;</w:t>
      </w:r>
    </w:p>
    <w:p>
      <w:pPr>
        <w:spacing w:after="0" w:line="150" w:lineRule="exact"/>
        <w:rPr>
          <w:rFonts w:ascii="Arial" w:cs="Arial" w:eastAsia="Arial" w:hAnsi="Arial"/>
          <w:sz w:val="16"/>
          <w:szCs w:val="16"/>
          <w:color w:val="auto"/>
        </w:rPr>
      </w:pPr>
    </w:p>
    <w:p>
      <w:pPr>
        <w:ind w:left="302" w:hanging="302"/>
        <w:spacing w:after="0"/>
        <w:tabs>
          <w:tab w:leader="none" w:pos="3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333-70451) pertaining to the Rush Enterprises, Inc. 1997 Non-Employee Director Stock Option Plan; and</w:t>
      </w:r>
    </w:p>
    <w:p>
      <w:pPr>
        <w:spacing w:after="0" w:line="208" w:lineRule="exact"/>
        <w:rPr>
          <w:rFonts w:ascii="Arial" w:cs="Arial" w:eastAsia="Arial" w:hAnsi="Arial"/>
          <w:sz w:val="16"/>
          <w:szCs w:val="16"/>
          <w:color w:val="auto"/>
        </w:rPr>
      </w:pPr>
    </w:p>
    <w:p>
      <w:pPr>
        <w:ind w:left="302" w:hanging="302"/>
        <w:spacing w:after="0"/>
        <w:tabs>
          <w:tab w:leader="none" w:pos="3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Registration Statement (Form S-8 No. 333-07043) pertaining to the Rush Enterprises, Inc. Long-Term Incentive Plan.</w:t>
      </w:r>
    </w:p>
    <w:p>
      <w:pPr>
        <w:spacing w:after="0" w:line="209" w:lineRule="exact"/>
        <w:rPr>
          <w:sz w:val="20"/>
          <w:szCs w:val="20"/>
          <w:color w:val="auto"/>
        </w:rPr>
      </w:pPr>
    </w:p>
    <w:p>
      <w:pPr>
        <w:ind w:left="2" w:right="200"/>
        <w:spacing w:after="0" w:line="286" w:lineRule="auto"/>
        <w:rPr>
          <w:sz w:val="20"/>
          <w:szCs w:val="20"/>
          <w:color w:val="auto"/>
        </w:rPr>
      </w:pPr>
      <w:r>
        <w:rPr>
          <w:rFonts w:ascii="Arial" w:cs="Arial" w:eastAsia="Arial" w:hAnsi="Arial"/>
          <w:sz w:val="16"/>
          <w:szCs w:val="16"/>
          <w:color w:val="auto"/>
        </w:rPr>
        <w:t>of our reports dated March 10, 2009, with respect to the consolidated financial statements of Rush Enterprises, Inc. and the effectiveness of Rush Enterprises, Inc.’s internal control over financial reporting, included in this Annual Report (Form 10-K) of Rush Enterprises, Inc. for the year ended December 31, 2008.</w:t>
      </w:r>
    </w:p>
    <w:p>
      <w:pPr>
        <w:spacing w:after="0" w:line="347" w:lineRule="exact"/>
        <w:rPr>
          <w:sz w:val="20"/>
          <w:szCs w:val="20"/>
          <w:color w:val="auto"/>
        </w:rPr>
      </w:pPr>
    </w:p>
    <w:p>
      <w:pPr>
        <w:ind w:left="2"/>
        <w:spacing w:after="0"/>
        <w:rPr>
          <w:sz w:val="20"/>
          <w:szCs w:val="20"/>
          <w:color w:val="auto"/>
        </w:rPr>
      </w:pPr>
      <w:r>
        <w:rPr>
          <w:rFonts w:ascii="Arial" w:cs="Arial" w:eastAsia="Arial" w:hAnsi="Arial"/>
          <w:sz w:val="16"/>
          <w:szCs w:val="16"/>
          <w:color w:val="auto"/>
        </w:rPr>
        <w:t>/s/ Ernst &amp; Young LLP</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San Antonio, Texas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March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279640" cy="28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2"/>
          </w:cols>
          <w:pgMar w:left="238" w:top="123" w:right="219" w:bottom="1440" w:gutter="0" w:footer="0" w:header="0"/>
        </w:sectPr>
      </w:pPr>
    </w:p>
    <w:bookmarkStart w:id="53" w:name="page54"/>
    <w:bookmarkEnd w:id="53"/>
    <w:p>
      <w:pPr>
        <w:jc w:val="right"/>
        <w:ind w:right="20"/>
        <w:spacing w:after="0"/>
        <w:rPr>
          <w:sz w:val="20"/>
          <w:szCs w:val="20"/>
          <w:color w:val="auto"/>
        </w:rPr>
      </w:pPr>
      <w:r>
        <w:rPr>
          <w:rFonts w:ascii="Arial" w:cs="Arial" w:eastAsia="Arial" w:hAnsi="Arial"/>
          <w:sz w:val="16"/>
          <w:szCs w:val="16"/>
          <w:b w:val="1"/>
          <w:bCs w:val="1"/>
          <w:color w:val="auto"/>
        </w:rPr>
        <w:t>EXHIBIT 31.1</w:t>
      </w:r>
    </w:p>
    <w:p>
      <w:pPr>
        <w:spacing w:after="0" w:line="209"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CERTIFICATION</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color w:val="auto"/>
        </w:rPr>
        <w:t>I, W. M. “Rusty” Rush, certify that:</w:t>
      </w:r>
    </w:p>
    <w:p>
      <w:pPr>
        <w:spacing w:after="0" w:line="209" w:lineRule="exact"/>
        <w:rPr>
          <w:sz w:val="20"/>
          <w:szCs w:val="20"/>
          <w:color w:val="auto"/>
        </w:rPr>
      </w:pPr>
    </w:p>
    <w:p>
      <w:pPr>
        <w:ind w:left="662" w:hanging="662"/>
        <w:spacing w:after="0"/>
        <w:tabs>
          <w:tab w:leader="none" w:pos="6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Rush Enterprises, Inc.;</w:t>
      </w:r>
    </w:p>
    <w:p>
      <w:pPr>
        <w:spacing w:after="0" w:line="208" w:lineRule="exact"/>
        <w:rPr>
          <w:rFonts w:ascii="Arial" w:cs="Arial" w:eastAsia="Arial" w:hAnsi="Arial"/>
          <w:sz w:val="16"/>
          <w:szCs w:val="16"/>
          <w:color w:val="auto"/>
        </w:rPr>
      </w:pPr>
    </w:p>
    <w:p>
      <w:pPr>
        <w:ind w:left="2" w:right="140" w:hanging="2"/>
        <w:spacing w:after="0" w:line="286"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 w:right="660" w:hanging="2"/>
        <w:spacing w:after="0" w:line="286"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2" w:right="520" w:hanging="2"/>
        <w:spacing w:after="0" w:line="362" w:lineRule="auto"/>
        <w:tabs>
          <w:tab w:leader="none" w:pos="6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4"/>
          <w:szCs w:val="14"/>
          <w:color w:val="auto"/>
        </w:rPr>
      </w:pPr>
    </w:p>
    <w:p>
      <w:pPr>
        <w:ind w:left="2" w:right="220" w:firstLine="587"/>
        <w:spacing w:after="0" w:line="271" w:lineRule="auto"/>
        <w:tabs>
          <w:tab w:leader="none" w:pos="124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2" w:right="360" w:firstLine="587"/>
        <w:spacing w:after="0" w:line="271" w:lineRule="auto"/>
        <w:tabs>
          <w:tab w:leader="none" w:pos="121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2" w:right="120" w:firstLine="587"/>
        <w:spacing w:after="0" w:line="286" w:lineRule="auto"/>
        <w:tabs>
          <w:tab w:leader="none" w:pos="1249"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2" w:right="100" w:firstLine="587"/>
        <w:spacing w:after="0" w:line="271" w:lineRule="auto"/>
        <w:tabs>
          <w:tab w:leader="none" w:pos="121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 w:right="420" w:hanging="2"/>
        <w:spacing w:after="0" w:line="286"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2" w:right="320" w:firstLine="587"/>
        <w:spacing w:after="0" w:line="286" w:lineRule="auto"/>
        <w:tabs>
          <w:tab w:leader="none" w:pos="1249"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2" w:right="560" w:firstLine="587"/>
        <w:spacing w:after="0" w:line="286" w:lineRule="auto"/>
        <w:tabs>
          <w:tab w:leader="none" w:pos="121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4100" w:type="dxa"/>
            <w:vAlign w:val="bottom"/>
          </w:tcPr>
          <w:p>
            <w:pPr>
              <w:spacing w:after="0"/>
              <w:rPr>
                <w:sz w:val="20"/>
                <w:szCs w:val="20"/>
                <w:color w:val="auto"/>
              </w:rPr>
            </w:pPr>
            <w:r>
              <w:rPr>
                <w:rFonts w:ascii="Arial" w:cs="Arial" w:eastAsia="Arial" w:hAnsi="Arial"/>
                <w:sz w:val="16"/>
                <w:szCs w:val="16"/>
                <w:color w:val="auto"/>
              </w:rPr>
              <w:t>Date: March 13, 2009</w:t>
            </w:r>
          </w:p>
        </w:tc>
        <w:tc>
          <w:tcPr>
            <w:tcW w:w="7320" w:type="dxa"/>
            <w:vAlign w:val="bottom"/>
            <w:gridSpan w:val="2"/>
          </w:tcPr>
          <w:p>
            <w:pPr>
              <w:ind w:left="2660"/>
              <w:spacing w:after="0"/>
              <w:rPr>
                <w:sz w:val="20"/>
                <w:szCs w:val="20"/>
                <w:color w:val="auto"/>
              </w:rPr>
            </w:pPr>
            <w:r>
              <w:rPr>
                <w:rFonts w:ascii="Arial" w:cs="Arial" w:eastAsia="Arial" w:hAnsi="Arial"/>
                <w:sz w:val="16"/>
                <w:szCs w:val="16"/>
                <w:color w:val="auto"/>
              </w:rPr>
              <w:t>By: /S/ W. M. “RUSTY” RUSH</w:t>
            </w:r>
          </w:p>
        </w:tc>
        <w:tc>
          <w:tcPr>
            <w:tcW w:w="40" w:type="dxa"/>
            <w:vAlign w:val="bottom"/>
          </w:tcPr>
          <w:p>
            <w:pPr>
              <w:spacing w:after="0"/>
              <w:rPr>
                <w:sz w:val="18"/>
                <w:szCs w:val="18"/>
                <w:color w:val="auto"/>
              </w:rPr>
            </w:pPr>
          </w:p>
        </w:tc>
      </w:tr>
      <w:tr>
        <w:trPr>
          <w:trHeight w:val="177"/>
        </w:trPr>
        <w:tc>
          <w:tcPr>
            <w:tcW w:w="4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34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W. M. “Rusty” Rush</w:t>
            </w:r>
          </w:p>
        </w:tc>
        <w:tc>
          <w:tcPr>
            <w:tcW w:w="40" w:type="dxa"/>
            <w:vAlign w:val="bottom"/>
          </w:tcPr>
          <w:p>
            <w:pPr>
              <w:spacing w:after="0"/>
              <w:rPr>
                <w:sz w:val="15"/>
                <w:szCs w:val="15"/>
                <w:color w:val="auto"/>
              </w:rPr>
            </w:pPr>
          </w:p>
        </w:tc>
      </w:tr>
      <w:tr>
        <w:trPr>
          <w:trHeight w:val="196"/>
        </w:trPr>
        <w:tc>
          <w:tcPr>
            <w:tcW w:w="4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40" w:type="dxa"/>
            <w:vAlign w:val="bottom"/>
          </w:tcPr>
          <w:p>
            <w:pPr>
              <w:spacing w:after="0"/>
              <w:rPr>
                <w:sz w:val="17"/>
                <w:szCs w:val="17"/>
                <w:color w:val="auto"/>
              </w:rPr>
            </w:pPr>
          </w:p>
        </w:tc>
      </w:tr>
      <w:tr>
        <w:trPr>
          <w:trHeight w:val="208"/>
        </w:trPr>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40" w:type="dxa"/>
            <w:vAlign w:val="bottom"/>
          </w:tcPr>
          <w:p>
            <w:pPr>
              <w:spacing w:after="0"/>
              <w:rPr>
                <w:sz w:val="18"/>
                <w:szCs w:val="18"/>
                <w:color w:val="auto"/>
              </w:rPr>
            </w:pPr>
          </w:p>
        </w:tc>
      </w:tr>
      <w:tr>
        <w:trPr>
          <w:trHeight w:val="316"/>
        </w:trPr>
        <w:tc>
          <w:tcPr>
            <w:tcW w:w="410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4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2"/>
          </w:cols>
          <w:pgMar w:left="238" w:top="319" w:right="19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6"/>
          <w:szCs w:val="16"/>
          <w:b w:val="1"/>
          <w:bCs w:val="1"/>
          <w:color w:val="auto"/>
        </w:rPr>
        <w:t>EXHIBIT 31.2</w:t>
      </w:r>
    </w:p>
    <w:p>
      <w:pPr>
        <w:spacing w:after="0" w:line="209"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CERTIFICATION</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color w:val="auto"/>
        </w:rPr>
        <w:t>I, Steven L. Keller, certify that:</w:t>
      </w:r>
    </w:p>
    <w:p>
      <w:pPr>
        <w:spacing w:after="0" w:line="209" w:lineRule="exact"/>
        <w:rPr>
          <w:sz w:val="20"/>
          <w:szCs w:val="20"/>
          <w:color w:val="auto"/>
        </w:rPr>
      </w:pPr>
    </w:p>
    <w:p>
      <w:pPr>
        <w:ind w:left="662" w:hanging="662"/>
        <w:spacing w:after="0"/>
        <w:tabs>
          <w:tab w:leader="none" w:pos="6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Rush Enterprises, Inc.;</w:t>
      </w:r>
    </w:p>
    <w:p>
      <w:pPr>
        <w:spacing w:after="0" w:line="208" w:lineRule="exact"/>
        <w:rPr>
          <w:rFonts w:ascii="Arial" w:cs="Arial" w:eastAsia="Arial" w:hAnsi="Arial"/>
          <w:sz w:val="16"/>
          <w:szCs w:val="16"/>
          <w:color w:val="auto"/>
        </w:rPr>
      </w:pPr>
    </w:p>
    <w:p>
      <w:pPr>
        <w:ind w:left="2" w:right="140" w:hanging="2"/>
        <w:spacing w:after="0" w:line="286" w:lineRule="auto"/>
        <w:tabs>
          <w:tab w:leader="none" w:pos="6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 w:right="660" w:hanging="2"/>
        <w:spacing w:after="0" w:line="286" w:lineRule="auto"/>
        <w:tabs>
          <w:tab w:leader="none" w:pos="6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2" w:right="520" w:hanging="2"/>
        <w:spacing w:after="0" w:line="362" w:lineRule="auto"/>
        <w:tabs>
          <w:tab w:leader="none" w:pos="6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4"/>
          <w:szCs w:val="14"/>
          <w:color w:val="auto"/>
        </w:rPr>
      </w:pPr>
    </w:p>
    <w:p>
      <w:pPr>
        <w:ind w:left="2" w:right="220" w:firstLine="587"/>
        <w:spacing w:after="0" w:line="271" w:lineRule="auto"/>
        <w:tabs>
          <w:tab w:leader="none" w:pos="124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2" w:right="360" w:firstLine="587"/>
        <w:spacing w:after="0" w:line="271" w:lineRule="auto"/>
        <w:tabs>
          <w:tab w:leader="none" w:pos="1217"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2" w:right="120" w:firstLine="587"/>
        <w:spacing w:after="0" w:line="286" w:lineRule="auto"/>
        <w:tabs>
          <w:tab w:leader="none" w:pos="1249"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2" w:right="100" w:firstLine="587"/>
        <w:spacing w:after="0" w:line="271" w:lineRule="auto"/>
        <w:tabs>
          <w:tab w:leader="none" w:pos="1217"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 w:right="420" w:hanging="2"/>
        <w:spacing w:after="0" w:line="286" w:lineRule="auto"/>
        <w:tabs>
          <w:tab w:leader="none" w:pos="6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2" w:right="320" w:firstLine="587"/>
        <w:spacing w:after="0" w:line="286" w:lineRule="auto"/>
        <w:tabs>
          <w:tab w:leader="none" w:pos="1249"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2" w:right="560" w:firstLine="587"/>
        <w:spacing w:after="0" w:line="286" w:lineRule="auto"/>
        <w:tabs>
          <w:tab w:leader="none" w:pos="121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4100" w:type="dxa"/>
            <w:vAlign w:val="bottom"/>
          </w:tcPr>
          <w:p>
            <w:pPr>
              <w:spacing w:after="0"/>
              <w:rPr>
                <w:sz w:val="20"/>
                <w:szCs w:val="20"/>
                <w:color w:val="auto"/>
              </w:rPr>
            </w:pPr>
            <w:r>
              <w:rPr>
                <w:rFonts w:ascii="Arial" w:cs="Arial" w:eastAsia="Arial" w:hAnsi="Arial"/>
                <w:sz w:val="16"/>
                <w:szCs w:val="16"/>
                <w:color w:val="auto"/>
              </w:rPr>
              <w:t>Date: March 13, 2009</w:t>
            </w:r>
          </w:p>
        </w:tc>
        <w:tc>
          <w:tcPr>
            <w:tcW w:w="7320" w:type="dxa"/>
            <w:vAlign w:val="bottom"/>
            <w:gridSpan w:val="2"/>
          </w:tcPr>
          <w:p>
            <w:pPr>
              <w:ind w:left="2660"/>
              <w:spacing w:after="0"/>
              <w:rPr>
                <w:sz w:val="20"/>
                <w:szCs w:val="20"/>
                <w:color w:val="auto"/>
              </w:rPr>
            </w:pPr>
            <w:r>
              <w:rPr>
                <w:rFonts w:ascii="Arial" w:cs="Arial" w:eastAsia="Arial" w:hAnsi="Arial"/>
                <w:sz w:val="16"/>
                <w:szCs w:val="16"/>
                <w:color w:val="auto"/>
              </w:rPr>
              <w:t>By: /S/ STEVEN L. KELLER</w:t>
            </w:r>
          </w:p>
        </w:tc>
        <w:tc>
          <w:tcPr>
            <w:tcW w:w="40" w:type="dxa"/>
            <w:vAlign w:val="bottom"/>
          </w:tcPr>
          <w:p>
            <w:pPr>
              <w:spacing w:after="0"/>
              <w:rPr>
                <w:sz w:val="18"/>
                <w:szCs w:val="18"/>
                <w:color w:val="auto"/>
              </w:rPr>
            </w:pPr>
          </w:p>
        </w:tc>
      </w:tr>
      <w:tr>
        <w:trPr>
          <w:trHeight w:val="177"/>
        </w:trPr>
        <w:tc>
          <w:tcPr>
            <w:tcW w:w="41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34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Steven L. Keller</w:t>
            </w:r>
          </w:p>
        </w:tc>
        <w:tc>
          <w:tcPr>
            <w:tcW w:w="40" w:type="dxa"/>
            <w:vAlign w:val="bottom"/>
          </w:tcPr>
          <w:p>
            <w:pPr>
              <w:spacing w:after="0"/>
              <w:rPr>
                <w:sz w:val="15"/>
                <w:szCs w:val="15"/>
                <w:color w:val="auto"/>
              </w:rPr>
            </w:pPr>
          </w:p>
        </w:tc>
      </w:tr>
      <w:tr>
        <w:trPr>
          <w:trHeight w:val="196"/>
        </w:trPr>
        <w:tc>
          <w:tcPr>
            <w:tcW w:w="4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Vice President and Chief Financial Officer</w:t>
            </w:r>
          </w:p>
        </w:tc>
        <w:tc>
          <w:tcPr>
            <w:tcW w:w="40" w:type="dxa"/>
            <w:vAlign w:val="bottom"/>
          </w:tcPr>
          <w:p>
            <w:pPr>
              <w:spacing w:after="0"/>
              <w:rPr>
                <w:sz w:val="17"/>
                <w:szCs w:val="17"/>
                <w:color w:val="auto"/>
              </w:rPr>
            </w:pPr>
          </w:p>
        </w:tc>
      </w:tr>
      <w:tr>
        <w:trPr>
          <w:trHeight w:val="208"/>
        </w:trPr>
        <w:tc>
          <w:tcPr>
            <w:tcW w:w="4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c>
          <w:tcPr>
            <w:tcW w:w="40" w:type="dxa"/>
            <w:vAlign w:val="bottom"/>
          </w:tcPr>
          <w:p>
            <w:pPr>
              <w:spacing w:after="0"/>
              <w:rPr>
                <w:sz w:val="18"/>
                <w:szCs w:val="18"/>
                <w:color w:val="auto"/>
              </w:rPr>
            </w:pPr>
          </w:p>
        </w:tc>
      </w:tr>
      <w:tr>
        <w:trPr>
          <w:trHeight w:val="316"/>
        </w:trPr>
        <w:tc>
          <w:tcPr>
            <w:tcW w:w="410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4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2"/>
          </w:cols>
          <w:pgMar w:left="238" w:top="319" w:right="199" w:bottom="1440" w:gutter="0" w:footer="0" w:header="0"/>
        </w:sectPr>
      </w:pPr>
    </w:p>
    <w:bookmarkStart w:id="55" w:name="page56"/>
    <w:bookmarkEnd w:id="55"/>
    <w:p>
      <w:pPr>
        <w:ind w:left="10400"/>
        <w:spacing w:after="0"/>
        <w:rPr>
          <w:sz w:val="20"/>
          <w:szCs w:val="20"/>
          <w:color w:val="auto"/>
        </w:rPr>
      </w:pPr>
      <w:r>
        <w:rPr>
          <w:rFonts w:ascii="Arial" w:cs="Arial" w:eastAsia="Arial" w:hAnsi="Arial"/>
          <w:sz w:val="16"/>
          <w:szCs w:val="16"/>
          <w:b w:val="1"/>
          <w:bCs w:val="1"/>
          <w:color w:val="auto"/>
        </w:rPr>
        <w:t>EXHIBIT 32.1</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18 U.S.C. SECTION 1350,</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7"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2008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62" w:lineRule="exact"/>
        <w:rPr>
          <w:sz w:val="20"/>
          <w:szCs w:val="20"/>
          <w:color w:val="auto"/>
        </w:rPr>
      </w:pPr>
    </w:p>
    <w:p>
      <w:pPr>
        <w:ind w:left="1240" w:hanging="653"/>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8" w:lineRule="exact"/>
        <w:rPr>
          <w:rFonts w:ascii="Arial" w:cs="Arial" w:eastAsia="Arial" w:hAnsi="Arial"/>
          <w:sz w:val="16"/>
          <w:szCs w:val="16"/>
          <w:color w:val="auto"/>
        </w:rPr>
      </w:pPr>
    </w:p>
    <w:p>
      <w:pPr>
        <w:ind w:left="1240" w:hanging="653"/>
        <w:spacing w:after="0"/>
        <w:tabs>
          <w:tab w:leader="none" w:pos="1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00" w:type="dxa"/>
            <w:vAlign w:val="bottom"/>
          </w:tcPr>
          <w:p>
            <w:pPr>
              <w:ind w:left="5360"/>
              <w:spacing w:after="0"/>
              <w:rPr>
                <w:sz w:val="20"/>
                <w:szCs w:val="20"/>
                <w:color w:val="auto"/>
              </w:rPr>
            </w:pPr>
            <w:r>
              <w:rPr>
                <w:rFonts w:ascii="Arial" w:cs="Arial" w:eastAsia="Arial" w:hAnsi="Arial"/>
                <w:sz w:val="16"/>
                <w:szCs w:val="16"/>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 M. “RUSTY” RUSH</w:t>
            </w:r>
          </w:p>
        </w:tc>
        <w:tc>
          <w:tcPr>
            <w:tcW w:w="40" w:type="dxa"/>
            <w:vAlign w:val="bottom"/>
          </w:tcPr>
          <w:p>
            <w:pPr>
              <w:spacing w:after="0"/>
              <w:rPr>
                <w:sz w:val="18"/>
                <w:szCs w:val="18"/>
                <w:color w:val="auto"/>
              </w:rPr>
            </w:pPr>
          </w:p>
        </w:tc>
      </w:tr>
      <w:tr>
        <w:trPr>
          <w:trHeight w:val="177"/>
        </w:trPr>
        <w:tc>
          <w:tcPr>
            <w:tcW w:w="6100" w:type="dxa"/>
            <w:vAlign w:val="bottom"/>
          </w:tcPr>
          <w:p>
            <w:pPr>
              <w:ind w:left="5360"/>
              <w:spacing w:after="0" w:line="178" w:lineRule="exact"/>
              <w:rPr>
                <w:sz w:val="20"/>
                <w:szCs w:val="20"/>
                <w:color w:val="auto"/>
              </w:rPr>
            </w:pPr>
            <w:r>
              <w:rPr>
                <w:rFonts w:ascii="Arial" w:cs="Arial" w:eastAsia="Arial" w:hAnsi="Arial"/>
                <w:sz w:val="16"/>
                <w:szCs w:val="16"/>
                <w:color w:val="auto"/>
              </w:rPr>
              <w:t>Name:</w:t>
            </w:r>
          </w:p>
        </w:tc>
        <w:tc>
          <w:tcPr>
            <w:tcW w:w="5320" w:type="dxa"/>
            <w:vAlign w:val="bottom"/>
          </w:tcPr>
          <w:p>
            <w:pPr>
              <w:spacing w:after="0" w:line="178" w:lineRule="exact"/>
              <w:rPr>
                <w:sz w:val="20"/>
                <w:szCs w:val="20"/>
                <w:color w:val="auto"/>
              </w:rPr>
            </w:pPr>
            <w:r>
              <w:rPr>
                <w:rFonts w:ascii="Arial" w:cs="Arial" w:eastAsia="Arial" w:hAnsi="Arial"/>
                <w:sz w:val="16"/>
                <w:szCs w:val="16"/>
                <w:color w:val="auto"/>
              </w:rPr>
              <w:t>W. M. “Rusty” Rush</w:t>
            </w:r>
          </w:p>
        </w:tc>
        <w:tc>
          <w:tcPr>
            <w:tcW w:w="40" w:type="dxa"/>
            <w:vAlign w:val="bottom"/>
          </w:tcPr>
          <w:p>
            <w:pPr>
              <w:spacing w:after="0"/>
              <w:rPr>
                <w:sz w:val="15"/>
                <w:szCs w:val="15"/>
                <w:color w:val="auto"/>
              </w:rPr>
            </w:pPr>
          </w:p>
        </w:tc>
      </w:tr>
      <w:tr>
        <w:trPr>
          <w:trHeight w:val="196"/>
        </w:trPr>
        <w:tc>
          <w:tcPr>
            <w:tcW w:w="6100" w:type="dxa"/>
            <w:vAlign w:val="bottom"/>
          </w:tcPr>
          <w:p>
            <w:pPr>
              <w:ind w:left="5360"/>
              <w:spacing w:after="0"/>
              <w:rPr>
                <w:sz w:val="20"/>
                <w:szCs w:val="20"/>
                <w:color w:val="auto"/>
              </w:rPr>
            </w:pPr>
            <w:r>
              <w:rPr>
                <w:rFonts w:ascii="Arial" w:cs="Arial" w:eastAsia="Arial" w:hAnsi="Arial"/>
                <w:sz w:val="16"/>
                <w:szCs w:val="16"/>
                <w:color w:val="auto"/>
              </w:rPr>
              <w:t>Title:</w:t>
            </w:r>
          </w:p>
        </w:tc>
        <w:tc>
          <w:tcPr>
            <w:tcW w:w="532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40" w:type="dxa"/>
            <w:vAlign w:val="bottom"/>
          </w:tcPr>
          <w:p>
            <w:pPr>
              <w:spacing w:after="0"/>
              <w:rPr>
                <w:sz w:val="17"/>
                <w:szCs w:val="17"/>
                <w:color w:val="auto"/>
              </w:rPr>
            </w:pPr>
          </w:p>
        </w:tc>
      </w:tr>
      <w:tr>
        <w:trPr>
          <w:trHeight w:val="208"/>
        </w:trPr>
        <w:tc>
          <w:tcPr>
            <w:tcW w:w="6100" w:type="dxa"/>
            <w:vAlign w:val="bottom"/>
          </w:tcPr>
          <w:p>
            <w:pPr>
              <w:ind w:left="5360"/>
              <w:spacing w:after="0"/>
              <w:rPr>
                <w:sz w:val="20"/>
                <w:szCs w:val="20"/>
                <w:color w:val="auto"/>
              </w:rPr>
            </w:pPr>
            <w:r>
              <w:rPr>
                <w:rFonts w:ascii="Arial" w:cs="Arial" w:eastAsia="Arial" w:hAnsi="Arial"/>
                <w:sz w:val="16"/>
                <w:szCs w:val="16"/>
                <w:color w:val="auto"/>
              </w:rPr>
              <w:t>Date:</w:t>
            </w:r>
          </w:p>
        </w:tc>
        <w:tc>
          <w:tcPr>
            <w:tcW w:w="5320" w:type="dxa"/>
            <w:vAlign w:val="bottom"/>
          </w:tcPr>
          <w:p>
            <w:pPr>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18"/>
                <w:szCs w:val="18"/>
                <w:color w:val="auto"/>
              </w:rPr>
            </w:pPr>
          </w:p>
        </w:tc>
      </w:tr>
      <w:tr>
        <w:trPr>
          <w:trHeight w:val="316"/>
        </w:trPr>
        <w:tc>
          <w:tcPr>
            <w:tcW w:w="610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56" w:name="page57"/>
    <w:bookmarkEnd w:id="56"/>
    <w:p>
      <w:pPr>
        <w:ind w:left="10400"/>
        <w:spacing w:after="0"/>
        <w:rPr>
          <w:sz w:val="20"/>
          <w:szCs w:val="20"/>
          <w:color w:val="auto"/>
        </w:rPr>
      </w:pPr>
      <w:r>
        <w:rPr>
          <w:rFonts w:ascii="Arial" w:cs="Arial" w:eastAsia="Arial" w:hAnsi="Arial"/>
          <w:sz w:val="16"/>
          <w:szCs w:val="16"/>
          <w:b w:val="1"/>
          <w:bCs w:val="1"/>
          <w:color w:val="auto"/>
        </w:rPr>
        <w:t>EXHIBIT 32.2</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18 U.S.C. SECTION 1350,</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7"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2008 as filed with the Securities and Exchange Commission on the date hereof (the “Report”), I, Steven L. Keller, Vice President and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1240" w:hanging="653"/>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8" w:lineRule="exact"/>
        <w:rPr>
          <w:rFonts w:ascii="Arial" w:cs="Arial" w:eastAsia="Arial" w:hAnsi="Arial"/>
          <w:sz w:val="16"/>
          <w:szCs w:val="16"/>
          <w:color w:val="auto"/>
        </w:rPr>
      </w:pPr>
    </w:p>
    <w:p>
      <w:pPr>
        <w:ind w:left="1240" w:hanging="653"/>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00" w:type="dxa"/>
            <w:vAlign w:val="bottom"/>
          </w:tcPr>
          <w:p>
            <w:pPr>
              <w:ind w:left="548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L. KELLER</w:t>
            </w:r>
          </w:p>
        </w:tc>
        <w:tc>
          <w:tcPr>
            <w:tcW w:w="40" w:type="dxa"/>
            <w:vAlign w:val="bottom"/>
          </w:tcPr>
          <w:p>
            <w:pPr>
              <w:spacing w:after="0"/>
              <w:rPr>
                <w:sz w:val="18"/>
                <w:szCs w:val="18"/>
                <w:color w:val="auto"/>
              </w:rPr>
            </w:pPr>
          </w:p>
        </w:tc>
      </w:tr>
      <w:tr>
        <w:trPr>
          <w:trHeight w:val="177"/>
        </w:trPr>
        <w:tc>
          <w:tcPr>
            <w:tcW w:w="6200" w:type="dxa"/>
            <w:vAlign w:val="bottom"/>
          </w:tcPr>
          <w:p>
            <w:pPr>
              <w:ind w:left="5480"/>
              <w:spacing w:after="0" w:line="178" w:lineRule="exact"/>
              <w:rPr>
                <w:sz w:val="20"/>
                <w:szCs w:val="20"/>
                <w:color w:val="auto"/>
              </w:rPr>
            </w:pPr>
            <w:r>
              <w:rPr>
                <w:rFonts w:ascii="Arial" w:cs="Arial" w:eastAsia="Arial" w:hAnsi="Arial"/>
                <w:sz w:val="16"/>
                <w:szCs w:val="16"/>
                <w:color w:val="auto"/>
              </w:rPr>
              <w:t>Name:</w:t>
            </w:r>
          </w:p>
        </w:tc>
        <w:tc>
          <w:tcPr>
            <w:tcW w:w="5220" w:type="dxa"/>
            <w:vAlign w:val="bottom"/>
          </w:tcPr>
          <w:p>
            <w:pPr>
              <w:ind w:left="20"/>
              <w:spacing w:after="0" w:line="178" w:lineRule="exact"/>
              <w:rPr>
                <w:sz w:val="20"/>
                <w:szCs w:val="20"/>
                <w:color w:val="auto"/>
              </w:rPr>
            </w:pPr>
            <w:r>
              <w:rPr>
                <w:rFonts w:ascii="Arial" w:cs="Arial" w:eastAsia="Arial" w:hAnsi="Arial"/>
                <w:sz w:val="16"/>
                <w:szCs w:val="16"/>
                <w:color w:val="auto"/>
              </w:rPr>
              <w:t>Steven L. Keller</w:t>
            </w:r>
          </w:p>
        </w:tc>
        <w:tc>
          <w:tcPr>
            <w:tcW w:w="40" w:type="dxa"/>
            <w:vAlign w:val="bottom"/>
          </w:tcPr>
          <w:p>
            <w:pPr>
              <w:spacing w:after="0"/>
              <w:rPr>
                <w:sz w:val="15"/>
                <w:szCs w:val="15"/>
                <w:color w:val="auto"/>
              </w:rPr>
            </w:pPr>
          </w:p>
        </w:tc>
      </w:tr>
      <w:tr>
        <w:trPr>
          <w:trHeight w:val="196"/>
        </w:trPr>
        <w:tc>
          <w:tcPr>
            <w:tcW w:w="6200" w:type="dxa"/>
            <w:vAlign w:val="bottom"/>
          </w:tcPr>
          <w:p>
            <w:pPr>
              <w:ind w:left="5480"/>
              <w:spacing w:after="0"/>
              <w:rPr>
                <w:sz w:val="20"/>
                <w:szCs w:val="20"/>
                <w:color w:val="auto"/>
              </w:rPr>
            </w:pPr>
            <w:r>
              <w:rPr>
                <w:rFonts w:ascii="Arial" w:cs="Arial" w:eastAsia="Arial" w:hAnsi="Arial"/>
                <w:sz w:val="16"/>
                <w:szCs w:val="16"/>
                <w:color w:val="auto"/>
              </w:rPr>
              <w:t>Title:</w:t>
            </w:r>
          </w:p>
        </w:tc>
        <w:tc>
          <w:tcPr>
            <w:tcW w:w="5220" w:type="dxa"/>
            <w:vAlign w:val="bottom"/>
          </w:tcPr>
          <w:p>
            <w:pPr>
              <w:ind w:left="20"/>
              <w:spacing w:after="0"/>
              <w:rPr>
                <w:sz w:val="20"/>
                <w:szCs w:val="20"/>
                <w:color w:val="auto"/>
              </w:rPr>
            </w:pPr>
            <w:r>
              <w:rPr>
                <w:rFonts w:ascii="Arial" w:cs="Arial" w:eastAsia="Arial" w:hAnsi="Arial"/>
                <w:sz w:val="16"/>
                <w:szCs w:val="16"/>
                <w:color w:val="auto"/>
              </w:rPr>
              <w:t>Vice President and Chief Financial Officer</w:t>
            </w:r>
          </w:p>
        </w:tc>
        <w:tc>
          <w:tcPr>
            <w:tcW w:w="40" w:type="dxa"/>
            <w:vAlign w:val="bottom"/>
          </w:tcPr>
          <w:p>
            <w:pPr>
              <w:spacing w:after="0"/>
              <w:rPr>
                <w:sz w:val="17"/>
                <w:szCs w:val="17"/>
                <w:color w:val="auto"/>
              </w:rPr>
            </w:pPr>
          </w:p>
        </w:tc>
      </w:tr>
      <w:tr>
        <w:trPr>
          <w:trHeight w:val="208"/>
        </w:trPr>
        <w:tc>
          <w:tcPr>
            <w:tcW w:w="6200" w:type="dxa"/>
            <w:vAlign w:val="bottom"/>
          </w:tcPr>
          <w:p>
            <w:pPr>
              <w:ind w:left="5480"/>
              <w:spacing w:after="0"/>
              <w:rPr>
                <w:sz w:val="20"/>
                <w:szCs w:val="20"/>
                <w:color w:val="auto"/>
              </w:rPr>
            </w:pPr>
            <w:r>
              <w:rPr>
                <w:rFonts w:ascii="Arial" w:cs="Arial" w:eastAsia="Arial" w:hAnsi="Arial"/>
                <w:sz w:val="16"/>
                <w:szCs w:val="16"/>
                <w:color w:val="auto"/>
              </w:rPr>
              <w:t>Date:</w:t>
            </w:r>
          </w:p>
        </w:tc>
        <w:tc>
          <w:tcPr>
            <w:tcW w:w="5220" w:type="dxa"/>
            <w:vAlign w:val="bottom"/>
          </w:tcPr>
          <w:p>
            <w:pPr>
              <w:ind w:left="20"/>
              <w:spacing w:after="0"/>
              <w:rPr>
                <w:sz w:val="20"/>
                <w:szCs w:val="20"/>
                <w:color w:val="auto"/>
              </w:rPr>
            </w:pPr>
            <w:r>
              <w:rPr>
                <w:rFonts w:ascii="Arial" w:cs="Arial" w:eastAsia="Arial" w:hAnsi="Arial"/>
                <w:sz w:val="16"/>
                <w:szCs w:val="16"/>
                <w:color w:val="auto"/>
              </w:rPr>
              <w:t>March 13, 2009</w:t>
            </w:r>
          </w:p>
        </w:tc>
        <w:tc>
          <w:tcPr>
            <w:tcW w:w="40" w:type="dxa"/>
            <w:vAlign w:val="bottom"/>
          </w:tcPr>
          <w:p>
            <w:pPr>
              <w:spacing w:after="0"/>
              <w:rPr>
                <w:sz w:val="18"/>
                <w:szCs w:val="18"/>
                <w:color w:val="auto"/>
              </w:rPr>
            </w:pPr>
          </w:p>
        </w:tc>
      </w:tr>
      <w:tr>
        <w:trPr>
          <w:trHeight w:val="316"/>
        </w:trPr>
        <w:tc>
          <w:tcPr>
            <w:tcW w:w="620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sectPr>
      <w:pgSz w:w="11900" w:h="16838" w:orient="portrait"/>
      <w:cols w:equalWidth="0" w:num="1">
        <w:col w:w="11460"/>
      </w:cols>
      <w:pgMar w:left="240" w:top="31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lvl w:ilvl="1">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2"/>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decimal"/>
      <w:start w:val="3"/>
    </w:lvl>
  </w:abstractNum>
  <w:abstractNum w:abstractNumId="14">
    <w:nsid w:val="8138641"/>
    <w:multiLevelType w:val="hybridMultilevel"/>
    <w:lvl w:ilvl="0">
      <w:lvlJc w:val="left"/>
      <w:lvlText w:val="%1."/>
      <w:numFmt w:val="decimal"/>
      <w:start w:val="4"/>
    </w:lvl>
  </w:abstractNum>
  <w:abstractNum w:abstractNumId="15">
    <w:nsid w:val="1E7FF521"/>
    <w:multiLevelType w:val="hybridMultilevel"/>
    <w:lvl w:ilvl="0">
      <w:lvlJc w:val="left"/>
      <w:lvlText w:val="%1."/>
      <w:numFmt w:val="decimal"/>
      <w:start w:val="6"/>
    </w:lvl>
  </w:abstractNum>
  <w:abstractNum w:abstractNumId="16">
    <w:nsid w:val="7C3DBD3D"/>
    <w:multiLevelType w:val="hybridMultilevel"/>
    <w:lvl w:ilvl="0">
      <w:lvlJc w:val="left"/>
      <w:lvlText w:val="%1."/>
      <w:numFmt w:val="decimal"/>
      <w:start w:val="7"/>
    </w:lvl>
  </w:abstractNum>
  <w:abstractNum w:abstractNumId="17">
    <w:nsid w:val="737B8DDC"/>
    <w:multiLevelType w:val="hybridMultilevel"/>
    <w:lvl w:ilvl="0">
      <w:lvlJc w:val="left"/>
      <w:lvlText w:val="%1."/>
      <w:numFmt w:val="decimal"/>
      <w:start w:val="9"/>
    </w:lvl>
  </w:abstractNum>
  <w:abstractNum w:abstractNumId="18">
    <w:nsid w:val="6CEAF087"/>
    <w:multiLevelType w:val="hybridMultilevel"/>
    <w:lvl w:ilvl="0">
      <w:lvlJc w:val="left"/>
      <w:lvlText w:val="%1."/>
      <w:numFmt w:val="decimal"/>
      <w:start w:val="10"/>
    </w:lvl>
  </w:abstractNum>
  <w:abstractNum w:abstractNumId="19">
    <w:nsid w:val="22221A70"/>
    <w:multiLevelType w:val="hybridMultilevel"/>
    <w:lvl w:ilvl="0">
      <w:lvlJc w:val="left"/>
      <w:lvlText w:val="%1."/>
      <w:numFmt w:val="decimal"/>
      <w:start w:val="11"/>
    </w:lvl>
  </w:abstractNum>
  <w:abstractNum w:abstractNumId="20">
    <w:nsid w:val="4516DDE9"/>
    <w:multiLevelType w:val="hybridMultilevel"/>
    <w:lvl w:ilvl="0">
      <w:lvlJc w:val="left"/>
      <w:lvlText w:val="%1."/>
      <w:numFmt w:val="decimal"/>
      <w:start w:val="12"/>
    </w:lvl>
  </w:abstractNum>
  <w:abstractNum w:abstractNumId="21">
    <w:nsid w:val="3006C83E"/>
    <w:multiLevelType w:val="hybridMultilevel"/>
    <w:lvl w:ilvl="0">
      <w:lvlJc w:val="left"/>
      <w:lvlText w:val="%1."/>
      <w:numFmt w:val="decimal"/>
      <w:start w:val="13"/>
    </w:lvl>
  </w:abstractNum>
  <w:abstractNum w:abstractNumId="22">
    <w:nsid w:val="614FD4A1"/>
    <w:multiLevelType w:val="hybridMultilevel"/>
    <w:lvl w:ilvl="0">
      <w:lvlJc w:val="left"/>
      <w:lvlText w:val="%1."/>
      <w:numFmt w:val="decimal"/>
      <w:start w:val="14"/>
    </w:lvl>
  </w:abstractNum>
  <w:abstractNum w:abstractNumId="23">
    <w:nsid w:val="419AC241"/>
    <w:multiLevelType w:val="hybridMultilevel"/>
    <w:lvl w:ilvl="0">
      <w:lvlJc w:val="left"/>
      <w:lvlText w:val="%1."/>
      <w:numFmt w:val="decimal"/>
      <w:start w:val="16"/>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7"/>
    </w:lvl>
  </w:abstractNum>
  <w:abstractNum w:abstractNumId="27">
    <w:nsid w:val="3804823E"/>
    <w:multiLevelType w:val="hybridMultilevel"/>
    <w:lvl w:ilvl="0">
      <w:lvlJc w:val="left"/>
      <w:lvlText w:val="%1."/>
      <w:numFmt w:val="decimal"/>
      <w:start w:val="18"/>
    </w:lvl>
  </w:abstractNum>
  <w:abstractNum w:abstractNumId="28">
    <w:nsid w:val="77465F01"/>
    <w:multiLevelType w:val="hybridMultilevel"/>
    <w:lvl w:ilvl="0">
      <w:lvlJc w:val="left"/>
      <w:lvlText w:val="%1."/>
      <w:numFmt w:val="decimal"/>
      <w:start w:val="19"/>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2"/>
    </w:lvl>
    <w:lvl w:ilvl="1">
      <w:lvlJc w:val="left"/>
      <w:lvlText w:val="(%2)"/>
      <w:numFmt w:val="lowerLetter"/>
      <w:start w:val="1"/>
    </w:lvl>
  </w:abstractNum>
  <w:abstractNum w:abstractNumId="34">
    <w:nsid w:val="2D517796"/>
    <w:multiLevelType w:val="hybridMultilevel"/>
    <w:lvl w:ilvl="0">
      <w:lvlJc w:val="left"/>
      <w:lvlText w:val="(%1)"/>
      <w:numFmt w:val="lowerLetter"/>
      <w:start w:val="3"/>
    </w:lvl>
  </w:abstractNum>
  <w:abstractNum w:abstractNumId="35">
    <w:nsid w:val="580BD78F"/>
    <w:multiLevelType w:val="hybridMultilevel"/>
    <w:lvl w:ilvl="0">
      <w:lvlJc w:val="left"/>
      <w:lvlText w:val="(%1)"/>
      <w:numFmt w:val="lowerLetter"/>
      <w:start w:val="5"/>
    </w:lvl>
  </w:abstractNum>
  <w:abstractNum w:abstractNumId="36">
    <w:nsid w:val="153EA438"/>
    <w:multiLevelType w:val="hybridMultilevel"/>
    <w:lvl w:ilvl="0">
      <w:lvlJc w:val="left"/>
      <w:lvlText w:val="(%1)"/>
      <w:numFmt w:val="lowerLetter"/>
      <w:start w:val="6"/>
    </w:lvl>
  </w:abstractNum>
  <w:abstractNum w:abstractNumId="37">
    <w:nsid w:val="3855585C"/>
    <w:multiLevelType w:val="hybridMultilevel"/>
    <w:lvl w:ilvl="0">
      <w:lvlJc w:val="left"/>
      <w:lvlText w:val="(%1)"/>
      <w:numFmt w:val="lowerLetter"/>
      <w:start w:val="8"/>
    </w:lvl>
  </w:abstractNum>
  <w:abstractNum w:abstractNumId="38">
    <w:nsid w:val="70A64E2A"/>
    <w:multiLevelType w:val="hybridMultilevel"/>
    <w:lvl w:ilvl="0">
      <w:lvlJc w:val="left"/>
      <w:lvlText w:val="%1."/>
      <w:numFmt w:val="decimal"/>
      <w:start w:val="4"/>
    </w:lvl>
    <w:lvl w:ilvl="1">
      <w:lvlJc w:val="left"/>
      <w:lvlText w:val="(%2)"/>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2019-12-10T13:45:16Z</dcterms:created>
  <dcterms:modified xsi:type="dcterms:W3CDTF">2019-12-10T13:45:16Z</dcterms:modified>
</cp:coreProperties>
</file>