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460" w:hanging="454"/>
        <w:spacing w:after="0"/>
        <w:tabs>
          <w:tab w:leader="none" w:pos="4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2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98" w:lineRule="exact"/>
        <w:rPr>
          <w:sz w:val="24"/>
          <w:szCs w:val="24"/>
          <w:color w:val="auto"/>
        </w:rPr>
      </w:pPr>
    </w:p>
    <w:p>
      <w:pPr>
        <w:ind w:right="2580" w:firstLine="6"/>
        <w:spacing w:after="0" w:line="550" w:lineRule="auto"/>
        <w:tabs>
          <w:tab w:leader="none" w:pos="10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00" w:lineRule="exact"/>
        <w:rPr>
          <w:sz w:val="24"/>
          <w:szCs w:val="24"/>
          <w:color w:val="auto"/>
        </w:rPr>
      </w:pP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60"/>
          </w:cols>
          <w:pgMar w:left="240" w:top="218" w:right="199" w:bottom="820" w:gutter="0" w:footer="0" w:header="0"/>
        </w:sectPr>
      </w:pPr>
    </w:p>
    <w:p>
      <w:pPr>
        <w:spacing w:after="0" w:line="19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Texas</w:t>
      </w:r>
    </w:p>
    <w:p>
      <w:pPr>
        <w:spacing w:after="0" w:line="2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74-1733016</w:t>
      </w:r>
    </w:p>
    <w:p>
      <w:pPr>
        <w:spacing w:after="0" w:line="22"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1" w:lineRule="exact"/>
        <w:rPr>
          <w:sz w:val="24"/>
          <w:szCs w:val="24"/>
          <w:color w:val="auto"/>
        </w:rPr>
      </w:pPr>
    </w:p>
    <w:p>
      <w:pPr>
        <w:sectPr>
          <w:pgSz w:w="11900" w:h="16838" w:orient="portrait"/>
          <w:cols w:equalWidth="0" w:num="2">
            <w:col w:w="6580" w:space="720"/>
            <w:col w:w="4160"/>
          </w:cols>
          <w:pgMar w:left="240" w:top="218" w:right="199" w:bottom="820" w:gutter="0" w:footer="0" w:header="0"/>
          <w:type w:val="continuous"/>
        </w:sectPr>
      </w:pP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(830) 302-5200</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jc w:val="both"/>
        <w:ind w:right="40" w:firstLine="950"/>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218" w:right="199" w:bottom="820" w:gutter="0" w:footer="0" w:header="0"/>
          <w:type w:val="continuous"/>
        </w:sectPr>
      </w:pPr>
    </w:p>
    <w:p>
      <w:pPr>
        <w:spacing w:after="0" w:line="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 [ ]</w:t>
      </w:r>
    </w:p>
    <w:p>
      <w:pPr>
        <w:spacing w:after="0" w:line="200" w:lineRule="exact"/>
        <w:rPr>
          <w:sz w:val="24"/>
          <w:szCs w:val="24"/>
          <w:color w:val="auto"/>
        </w:rPr>
      </w:pPr>
    </w:p>
    <w:p>
      <w:pPr>
        <w:sectPr>
          <w:pgSz w:w="11900" w:h="16838" w:orient="portrait"/>
          <w:cols w:equalWidth="0" w:num="2">
            <w:col w:w="5640" w:space="720"/>
            <w:col w:w="5100"/>
          </w:cols>
          <w:pgMar w:left="240" w:top="218" w:right="199" w:bottom="820" w:gutter="0" w:footer="0" w:header="0"/>
          <w:type w:val="continuous"/>
        </w:sectPr>
      </w:pPr>
    </w:p>
    <w:p>
      <w:pPr>
        <w:spacing w:after="0" w:line="21" w:lineRule="exact"/>
        <w:rPr>
          <w:sz w:val="24"/>
          <w:szCs w:val="24"/>
          <w:color w:val="auto"/>
        </w:rPr>
      </w:pPr>
    </w:p>
    <w:p>
      <w:pPr>
        <w:ind w:right="60" w:firstLine="63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0" w:lineRule="exact"/>
        <w:rPr>
          <w:sz w:val="24"/>
          <w:szCs w:val="24"/>
          <w:color w:val="auto"/>
        </w:rPr>
      </w:pPr>
    </w:p>
    <w:p>
      <w:pPr>
        <w:ind w:left="4980"/>
        <w:spacing w:after="0"/>
        <w:tabs>
          <w:tab w:leader="none" w:pos="634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6"/>
          <w:szCs w:val="16"/>
          <w:color w:val="auto"/>
        </w:rPr>
        <w:t>No [ ]</w:t>
      </w:r>
    </w:p>
    <w:p>
      <w:pPr>
        <w:spacing w:after="0" w:line="215" w:lineRule="exact"/>
        <w:rPr>
          <w:sz w:val="24"/>
          <w:szCs w:val="24"/>
          <w:color w:val="auto"/>
        </w:rPr>
      </w:pPr>
    </w:p>
    <w:p>
      <w:pPr>
        <w:jc w:val="both"/>
        <w:ind w:right="140" w:firstLine="63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60" w:type="dxa"/>
        <w:tblCellMar>
          <w:top w:w="0" w:type="dxa"/>
          <w:left w:w="0" w:type="dxa"/>
          <w:bottom w:w="0" w:type="dxa"/>
          <w:right w:w="0" w:type="dxa"/>
        </w:tblCellMar>
      </w:tblPr>
      <w:tr>
        <w:trPr>
          <w:trHeight w:val="277"/>
        </w:trPr>
        <w:tc>
          <w:tcPr>
            <w:tcW w:w="54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14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5"/>
        </w:trPr>
        <w:tc>
          <w:tcPr>
            <w:tcW w:w="54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14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w w:val="96"/>
              </w:rPr>
              <w:t xml:space="preserve">Smaller reporting company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40" w:type="dxa"/>
            <w:vAlign w:val="bottom"/>
            <w:vMerge w:val="restart"/>
          </w:tcPr>
          <w:p>
            <w:pPr>
              <w:ind w:left="1000"/>
              <w:spacing w:after="0" w:line="207" w:lineRule="exact"/>
              <w:rPr>
                <w:sz w:val="20"/>
                <w:szCs w:val="20"/>
                <w:color w:val="auto"/>
              </w:rPr>
            </w:pPr>
            <w:r>
              <w:rPr>
                <w:rFonts w:ascii="Times New Roman" w:cs="Times New Roman" w:eastAsia="Times New Roman" w:hAnsi="Times New Roman"/>
                <w:sz w:val="18"/>
                <w:szCs w:val="18"/>
                <w:color w:val="auto"/>
                <w:w w:val="96"/>
              </w:rPr>
              <w:t xml:space="preserve">Emerging growth company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31"/>
        </w:trPr>
        <w:tc>
          <w:tcPr>
            <w:tcW w:w="540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29"/>
        </w:trPr>
        <w:tc>
          <w:tcPr>
            <w:tcW w:w="540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Yes [ ]</w:t>
            </w:r>
          </w:p>
        </w:tc>
        <w:tc>
          <w:tcPr>
            <w:tcW w:w="3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[X]</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May 3, 2017.</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90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1"/>
        </w:trPr>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90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190"/>
        </w:trPr>
        <w:tc>
          <w:tcPr>
            <w:tcW w:w="800" w:type="dxa"/>
            <w:vAlign w:val="bottom"/>
          </w:tcPr>
          <w:p>
            <w:pPr>
              <w:spacing w:after="0"/>
              <w:rPr>
                <w:sz w:val="16"/>
                <w:szCs w:val="16"/>
                <w:color w:val="auto"/>
              </w:rPr>
            </w:pPr>
          </w:p>
        </w:tc>
        <w:tc>
          <w:tcPr>
            <w:tcW w:w="2980" w:type="dxa"/>
            <w:vAlign w:val="bottom"/>
          </w:tcPr>
          <w:p>
            <w:pPr>
              <w:ind w:left="1020"/>
              <w:spacing w:after="0" w:line="190" w:lineRule="exact"/>
              <w:rPr>
                <w:sz w:val="20"/>
                <w:szCs w:val="20"/>
                <w:color w:val="auto"/>
              </w:rPr>
            </w:pPr>
            <w:r>
              <w:rPr>
                <w:rFonts w:ascii="Times New Roman" w:cs="Times New Roman" w:eastAsia="Times New Roman" w:hAnsi="Times New Roman"/>
                <w:sz w:val="18"/>
                <w:szCs w:val="18"/>
                <w:color w:val="auto"/>
              </w:rPr>
              <w:t>Class</w:t>
            </w:r>
          </w:p>
        </w:tc>
        <w:tc>
          <w:tcPr>
            <w:tcW w:w="3780" w:type="dxa"/>
            <w:vAlign w:val="bottom"/>
          </w:tcPr>
          <w:p>
            <w:pPr>
              <w:spacing w:after="0"/>
              <w:rPr>
                <w:sz w:val="16"/>
                <w:szCs w:val="16"/>
                <w:color w:val="auto"/>
              </w:rPr>
            </w:pPr>
          </w:p>
        </w:tc>
        <w:tc>
          <w:tcPr>
            <w:tcW w:w="3900" w:type="dxa"/>
            <w:vAlign w:val="bottom"/>
            <w:gridSpan w:val="2"/>
          </w:tcPr>
          <w:p>
            <w:pPr>
              <w:jc w:val="center"/>
              <w:ind w:right="3040"/>
              <w:spacing w:after="0" w:line="190" w:lineRule="exact"/>
              <w:rPr>
                <w:sz w:val="20"/>
                <w:szCs w:val="20"/>
                <w:color w:val="auto"/>
              </w:rPr>
            </w:pPr>
            <w:r>
              <w:rPr>
                <w:rFonts w:ascii="Times New Roman" w:cs="Times New Roman" w:eastAsia="Times New Roman" w:hAnsi="Times New Roman"/>
                <w:sz w:val="18"/>
                <w:szCs w:val="18"/>
                <w:color w:val="auto"/>
                <w:w w:val="97"/>
              </w:rPr>
              <w:t>Outstanding</w:t>
            </w:r>
          </w:p>
        </w:tc>
      </w:tr>
      <w:tr>
        <w:trPr>
          <w:trHeight w:val="212"/>
        </w:trPr>
        <w:tc>
          <w:tcPr>
            <w:tcW w:w="80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37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30,535,559</w:t>
            </w:r>
          </w:p>
        </w:tc>
        <w:tc>
          <w:tcPr>
            <w:tcW w:w="3040" w:type="dxa"/>
            <w:vAlign w:val="bottom"/>
          </w:tcPr>
          <w:p>
            <w:pPr>
              <w:spacing w:after="0"/>
              <w:rPr>
                <w:sz w:val="18"/>
                <w:szCs w:val="18"/>
                <w:color w:val="auto"/>
              </w:rPr>
            </w:pPr>
          </w:p>
        </w:tc>
      </w:tr>
      <w:tr>
        <w:trPr>
          <w:trHeight w:val="229"/>
        </w:trPr>
        <w:tc>
          <w:tcPr>
            <w:tcW w:w="800" w:type="dxa"/>
            <w:vAlign w:val="bottom"/>
          </w:tcPr>
          <w:p>
            <w:pPr>
              <w:spacing w:after="0"/>
              <w:rPr>
                <w:sz w:val="19"/>
                <w:szCs w:val="19"/>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Class B Common Stock, $.01 Par Value</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8,997,663</w:t>
            </w:r>
          </w:p>
        </w:tc>
        <w:tc>
          <w:tcPr>
            <w:tcW w:w="3040" w:type="dxa"/>
            <w:vAlign w:val="bottom"/>
          </w:tcPr>
          <w:p>
            <w:pPr>
              <w:spacing w:after="0"/>
              <w:rPr>
                <w:sz w:val="19"/>
                <w:szCs w:val="19"/>
                <w:color w:val="auto"/>
              </w:rPr>
            </w:pPr>
          </w:p>
        </w:tc>
      </w:tr>
      <w:tr>
        <w:trPr>
          <w:trHeight w:val="803"/>
        </w:trPr>
        <w:tc>
          <w:tcPr>
            <w:tcW w:w="8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218" w:right="199" w:bottom="820" w:gutter="0" w:footer="0" w:header="0"/>
          <w:type w:val="continuous"/>
        </w:sectPr>
      </w:pPr>
    </w:p>
    <w:bookmarkStart w:id="1" w:name="page2"/>
    <w:bookmarkEnd w:id="1"/>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0" w:type="dxa"/>
            <w:vAlign w:val="bottom"/>
            <w:gridSpan w:val="7"/>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7"/>
              </w:rPr>
              <w:t>RUSH ENTERPRISES, INC. AND SUBSIDIARIES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22"/>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gridSpan w:val="5"/>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4"/>
        </w:trPr>
        <w:tc>
          <w:tcPr>
            <w:tcW w:w="3000" w:type="dxa"/>
            <w:vAlign w:val="bottom"/>
            <w:gridSpan w:val="6"/>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 FINANCIAL INFORMATION</w:t>
              </w:r>
            </w:hyperlink>
          </w:p>
        </w:tc>
        <w:tc>
          <w:tcPr>
            <w:tcW w:w="7800" w:type="dxa"/>
            <w:vAlign w:val="bottom"/>
            <w:gridSpan w:val="7"/>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2"/>
        </w:trPr>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80" w:type="dxa"/>
            <w:vAlign w:val="bottom"/>
            <w:tcBorders>
              <w:top w:val="single" w:sz="8" w:color="0000EE"/>
            </w:tcBorders>
          </w:tcPr>
          <w:p>
            <w:pPr>
              <w:spacing w:after="0"/>
              <w:rPr>
                <w:sz w:val="24"/>
                <w:szCs w:val="24"/>
                <w:color w:val="auto"/>
              </w:rPr>
            </w:pPr>
          </w:p>
        </w:tc>
        <w:tc>
          <w:tcPr>
            <w:tcW w:w="14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380" w:type="dxa"/>
            <w:vAlign w:val="bottom"/>
            <w:tcBorders>
              <w:top w:val="single" w:sz="8" w:color="0000EE"/>
            </w:tcBorders>
            <w:gridSpan w:val="2"/>
          </w:tcPr>
          <w:p>
            <w:pPr>
              <w:spacing w:after="0"/>
              <w:rPr>
                <w:sz w:val="24"/>
                <w:szCs w:val="24"/>
                <w:color w:val="auto"/>
              </w:rPr>
            </w:pPr>
          </w:p>
        </w:tc>
        <w:tc>
          <w:tcPr>
            <w:tcW w:w="780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02"/>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Consolidated Balance Sheets - March 31, 2017 (unaudited) and December 31, 2016</w:t>
              </w:r>
            </w:hyperlink>
          </w:p>
        </w:tc>
        <w:tc>
          <w:tcPr>
            <w:tcW w:w="3760" w:type="dxa"/>
            <w:vAlign w:val="bottom"/>
            <w:gridSpan w:val="4"/>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2"/>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Consolidated Statements of Income and Comprehensive Income - For the Three Months Ended March 31, 2017 and 2016 (unaudited)</w:t>
              </w:r>
            </w:hyperlink>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2"/>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 For the Three Months Ended March 31, 2017 and 2016 (unaudited)</w:t>
              </w:r>
            </w:hyperlink>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02"/>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Notes to Consolidated Financial Statements (unaudited)</w:t>
              </w:r>
            </w:hyperlink>
          </w:p>
        </w:tc>
        <w:tc>
          <w:tcPr>
            <w:tcW w:w="3760" w:type="dxa"/>
            <w:vAlign w:val="bottom"/>
            <w:tcBorders>
              <w:top w:val="single" w:sz="8" w:color="0000EE"/>
            </w:tcBorders>
            <w:gridSpan w:val="4"/>
          </w:tcPr>
          <w:p>
            <w:pPr>
              <w:spacing w:after="0"/>
              <w:rPr>
                <w:sz w:val="24"/>
                <w:szCs w:val="24"/>
                <w:color w:val="auto"/>
              </w:rPr>
            </w:pPr>
          </w:p>
        </w:tc>
        <w:tc>
          <w:tcPr>
            <w:tcW w:w="1960" w:type="dxa"/>
            <w:vAlign w:val="bottom"/>
            <w:gridSpan w:val="2"/>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02"/>
        </w:trPr>
        <w:tc>
          <w:tcPr>
            <w:tcW w:w="5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2.</w:t>
              </w:r>
            </w:hyperlink>
          </w:p>
        </w:tc>
        <w:tc>
          <w:tcPr>
            <w:tcW w:w="80" w:type="dxa"/>
            <w:vAlign w:val="bottom"/>
          </w:tcPr>
          <w:p>
            <w:pPr>
              <w:spacing w:after="0"/>
              <w:rPr>
                <w:sz w:val="24"/>
                <w:szCs w:val="24"/>
                <w:color w:val="auto"/>
              </w:rPr>
            </w:pPr>
          </w:p>
        </w:tc>
        <w:tc>
          <w:tcPr>
            <w:tcW w:w="63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340" w:type="dxa"/>
            <w:vAlign w:val="bottom"/>
            <w:gridSpan w:val="3"/>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2"/>
        </w:trPr>
        <w:tc>
          <w:tcPr>
            <w:tcW w:w="560" w:type="dxa"/>
            <w:vAlign w:val="bottom"/>
          </w:tcPr>
          <w:p>
            <w:pPr>
              <w:spacing w:after="0"/>
              <w:rPr>
                <w:sz w:val="24"/>
                <w:szCs w:val="24"/>
                <w:color w:val="auto"/>
              </w:rPr>
            </w:pPr>
          </w:p>
        </w:tc>
        <w:tc>
          <w:tcPr>
            <w:tcW w:w="500" w:type="dxa"/>
            <w:vAlign w:val="bottom"/>
          </w:tcPr>
          <w:p>
            <w:pPr>
              <w:spacing w:after="0"/>
              <w:rPr>
                <w:rFonts w:ascii="Times New Roman" w:cs="Times New Roman" w:eastAsia="Times New Roman" w:hAnsi="Times New Roman"/>
                <w:sz w:val="18"/>
                <w:szCs w:val="18"/>
                <w:color w:val="0000EE"/>
                <w:w w:val="94"/>
              </w:rPr>
            </w:pPr>
            <w:hyperlink w:anchor="page24">
              <w:r>
                <w:rPr>
                  <w:rFonts w:ascii="Times New Roman" w:cs="Times New Roman" w:eastAsia="Times New Roman" w:hAnsi="Times New Roman"/>
                  <w:sz w:val="18"/>
                  <w:szCs w:val="18"/>
                  <w:color w:val="0000EE"/>
                  <w:w w:val="94"/>
                </w:rPr>
                <w:t>Item 3.</w:t>
              </w:r>
            </w:hyperlink>
          </w:p>
        </w:tc>
        <w:tc>
          <w:tcPr>
            <w:tcW w:w="80" w:type="dxa"/>
            <w:vAlign w:val="bottom"/>
          </w:tcPr>
          <w:p>
            <w:pPr>
              <w:spacing w:after="0"/>
              <w:rPr>
                <w:sz w:val="24"/>
                <w:szCs w:val="24"/>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Quantitative and Qualitative Disclosures About Market Risk</w:t>
              </w:r>
            </w:hyperlink>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02"/>
        </w:trPr>
        <w:tc>
          <w:tcPr>
            <w:tcW w:w="5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24">
              <w:r>
                <w:rPr>
                  <w:rFonts w:ascii="Times New Roman" w:cs="Times New Roman" w:eastAsia="Times New Roman" w:hAnsi="Times New Roman"/>
                  <w:sz w:val="18"/>
                  <w:szCs w:val="18"/>
                  <w:color w:val="0000EE"/>
                  <w:w w:val="94"/>
                </w:rPr>
                <w:t>Item 4.</w:t>
              </w:r>
            </w:hyperlink>
          </w:p>
        </w:tc>
        <w:tc>
          <w:tcPr>
            <w:tcW w:w="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400" w:type="dxa"/>
            <w:vAlign w:val="bottom"/>
            <w:gridSpan w:val="5"/>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gridSpan w:val="16"/>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PART II. OTHER INFORMATION</w:t>
              </w:r>
            </w:hyperlink>
          </w:p>
        </w:tc>
        <w:tc>
          <w:tcPr>
            <w:tcW w:w="5920" w:type="dxa"/>
            <w:vAlign w:val="bottom"/>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1.</w:t>
              </w:r>
            </w:hyperlink>
          </w:p>
        </w:tc>
        <w:tc>
          <w:tcPr>
            <w:tcW w:w="80" w:type="dxa"/>
            <w:vAlign w:val="bottom"/>
            <w:tcBorders>
              <w:top w:val="single" w:sz="8" w:color="0000EE"/>
            </w:tcBorders>
            <w:gridSpan w:val="2"/>
          </w:tcPr>
          <w:p>
            <w:pPr>
              <w:spacing w:after="0"/>
              <w:rPr>
                <w:sz w:val="24"/>
                <w:szCs w:val="24"/>
                <w:color w:val="auto"/>
              </w:rPr>
            </w:pPr>
          </w:p>
        </w:tc>
        <w:tc>
          <w:tcPr>
            <w:tcW w:w="15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2820" w:type="dxa"/>
            <w:vAlign w:val="bottom"/>
            <w:gridSpan w:val="4"/>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w:t>
              </w:r>
            </w:hyperlink>
          </w:p>
        </w:tc>
        <w:tc>
          <w:tcPr>
            <w:tcW w:w="80" w:type="dxa"/>
            <w:vAlign w:val="bottom"/>
            <w:gridSpan w:val="2"/>
          </w:tcPr>
          <w:p>
            <w:pPr>
              <w:spacing w:after="0"/>
              <w:rPr>
                <w:sz w:val="24"/>
                <w:szCs w:val="24"/>
                <w:color w:val="auto"/>
              </w:rPr>
            </w:pP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3080" w:type="dxa"/>
            <w:vAlign w:val="bottom"/>
            <w:gridSpan w:val="5"/>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gridSpan w:val="7"/>
          </w:tcPr>
          <w:p>
            <w:pPr>
              <w:ind w:left="480"/>
              <w:spacing w:after="0" w:line="191"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1A.</w:t>
              </w:r>
            </w:hyperlink>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2.</w:t>
              </w:r>
            </w:hyperlink>
          </w:p>
        </w:tc>
        <w:tc>
          <w:tcPr>
            <w:tcW w:w="80" w:type="dxa"/>
            <w:vAlign w:val="bottom"/>
            <w:gridSpan w:val="2"/>
          </w:tcPr>
          <w:p>
            <w:pPr>
              <w:spacing w:after="0"/>
              <w:rPr>
                <w:sz w:val="24"/>
                <w:szCs w:val="24"/>
                <w:color w:val="auto"/>
              </w:rPr>
            </w:pPr>
          </w:p>
        </w:tc>
        <w:tc>
          <w:tcPr>
            <w:tcW w:w="4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Unregistered Sales of Equity Securities and Use of Proceeds</w:t>
              </w:r>
            </w:hyperlink>
          </w:p>
        </w:tc>
        <w:tc>
          <w:tcPr>
            <w:tcW w:w="12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3.</w:t>
              </w:r>
            </w:hyperlink>
          </w:p>
        </w:tc>
        <w:tc>
          <w:tcPr>
            <w:tcW w:w="80" w:type="dxa"/>
            <w:vAlign w:val="bottom"/>
            <w:gridSpan w:val="2"/>
          </w:tcPr>
          <w:p>
            <w:pPr>
              <w:spacing w:after="0"/>
              <w:rPr>
                <w:sz w:val="24"/>
                <w:szCs w:val="24"/>
                <w:color w:val="auto"/>
              </w:rPr>
            </w:pPr>
          </w:p>
        </w:tc>
        <w:tc>
          <w:tcPr>
            <w:tcW w:w="22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Defaults Upon Senior Securities</w:t>
              </w:r>
            </w:hyperlink>
          </w:p>
        </w:tc>
        <w:tc>
          <w:tcPr>
            <w:tcW w:w="2100" w:type="dxa"/>
            <w:vAlign w:val="bottom"/>
            <w:gridSpan w:val="2"/>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4.</w:t>
              </w:r>
            </w:hyperlink>
          </w:p>
        </w:tc>
        <w:tc>
          <w:tcPr>
            <w:tcW w:w="80" w:type="dxa"/>
            <w:vAlign w:val="bottom"/>
            <w:gridSpan w:val="2"/>
          </w:tcPr>
          <w:p>
            <w:pPr>
              <w:spacing w:after="0"/>
              <w:rPr>
                <w:sz w:val="24"/>
                <w:szCs w:val="24"/>
                <w:color w:val="auto"/>
              </w:rPr>
            </w:pPr>
          </w:p>
        </w:tc>
        <w:tc>
          <w:tcPr>
            <w:tcW w:w="1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Mine Safety Disclosures</w:t>
              </w:r>
            </w:hyperlink>
          </w:p>
        </w:tc>
        <w:tc>
          <w:tcPr>
            <w:tcW w:w="2640" w:type="dxa"/>
            <w:vAlign w:val="bottom"/>
            <w:gridSpan w:val="3"/>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spacing w:after="0"/>
              <w:rPr>
                <w:rFonts w:ascii="Times New Roman" w:cs="Times New Roman" w:eastAsia="Times New Roman" w:hAnsi="Times New Roman"/>
                <w:sz w:val="18"/>
                <w:szCs w:val="18"/>
                <w:color w:val="0000EE"/>
                <w:w w:val="94"/>
              </w:rPr>
            </w:pPr>
            <w:hyperlink w:anchor="page26">
              <w:r>
                <w:rPr>
                  <w:rFonts w:ascii="Times New Roman" w:cs="Times New Roman" w:eastAsia="Times New Roman" w:hAnsi="Times New Roman"/>
                  <w:sz w:val="18"/>
                  <w:szCs w:val="18"/>
                  <w:color w:val="0000EE"/>
                  <w:w w:val="94"/>
                </w:rPr>
                <w:t>Item 5.</w:t>
              </w:r>
            </w:hyperlink>
          </w:p>
        </w:tc>
        <w:tc>
          <w:tcPr>
            <w:tcW w:w="80" w:type="dxa"/>
            <w:vAlign w:val="bottom"/>
            <w:gridSpan w:val="2"/>
          </w:tcPr>
          <w:p>
            <w:pPr>
              <w:spacing w:after="0"/>
              <w:rPr>
                <w:sz w:val="24"/>
                <w:szCs w:val="24"/>
                <w:color w:val="auto"/>
              </w:rPr>
            </w:pPr>
          </w:p>
        </w:tc>
        <w:tc>
          <w:tcPr>
            <w:tcW w:w="4380" w:type="dxa"/>
            <w:vAlign w:val="bottom"/>
            <w:gridSpan w:val="9"/>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Other Information</w:t>
              </w:r>
            </w:hyperlink>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26">
              <w:r>
                <w:rPr>
                  <w:rFonts w:ascii="Times New Roman" w:cs="Times New Roman" w:eastAsia="Times New Roman" w:hAnsi="Times New Roman"/>
                  <w:sz w:val="18"/>
                  <w:szCs w:val="18"/>
                  <w:color w:val="0000EE"/>
                  <w:w w:val="94"/>
                </w:rPr>
                <w:t>Item 6.</w:t>
              </w:r>
            </w:hyperlink>
          </w:p>
        </w:tc>
        <w:tc>
          <w:tcPr>
            <w:tcW w:w="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Exhibits</w:t>
              </w:r>
            </w:hyperlink>
          </w:p>
        </w:tc>
        <w:tc>
          <w:tcPr>
            <w:tcW w:w="680" w:type="dxa"/>
            <w:vAlign w:val="bottom"/>
            <w:tcBorders>
              <w:top w:val="single" w:sz="8" w:color="0000EE"/>
            </w:tcBorders>
            <w:gridSpan w:val="2"/>
          </w:tcPr>
          <w:p>
            <w:pPr>
              <w:spacing w:after="0"/>
              <w:rPr>
                <w:sz w:val="24"/>
                <w:szCs w:val="24"/>
                <w:color w:val="auto"/>
              </w:rPr>
            </w:pPr>
          </w:p>
        </w:tc>
        <w:tc>
          <w:tcPr>
            <w:tcW w:w="3100" w:type="dxa"/>
            <w:vAlign w:val="bottom"/>
            <w:gridSpan w:val="6"/>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2"/>
        </w:trPr>
        <w:tc>
          <w:tcPr>
            <w:tcW w:w="20" w:type="dxa"/>
            <w:vAlign w:val="bottom"/>
          </w:tcPr>
          <w:p>
            <w:pPr>
              <w:spacing w:after="0"/>
              <w:rPr>
                <w:sz w:val="24"/>
                <w:szCs w:val="24"/>
                <w:color w:val="auto"/>
              </w:rPr>
            </w:pPr>
          </w:p>
        </w:tc>
        <w:tc>
          <w:tcPr>
            <w:tcW w:w="1140" w:type="dxa"/>
            <w:vAlign w:val="bottom"/>
            <w:gridSpan w:val="7"/>
          </w:tcPr>
          <w:p>
            <w:pPr>
              <w:spacing w:after="0"/>
              <w:rPr>
                <w:rFonts w:ascii="Times New Roman" w:cs="Times New Roman" w:eastAsia="Times New Roman" w:hAnsi="Times New Roman"/>
                <w:sz w:val="18"/>
                <w:szCs w:val="18"/>
                <w:b w:val="1"/>
                <w:bCs w:val="1"/>
                <w:color w:val="0000EE"/>
                <w:w w:val="95"/>
              </w:rPr>
            </w:pPr>
            <w:hyperlink w:anchor="page27">
              <w:r>
                <w:rPr>
                  <w:rFonts w:ascii="Times New Roman" w:cs="Times New Roman" w:eastAsia="Times New Roman" w:hAnsi="Times New Roman"/>
                  <w:sz w:val="18"/>
                  <w:szCs w:val="18"/>
                  <w:b w:val="1"/>
                  <w:bCs w:val="1"/>
                  <w:color w:val="0000EE"/>
                  <w:w w:val="95"/>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679"/>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tcPr>
          <w:p>
            <w:pPr>
              <w:jc w:val="right"/>
              <w:ind w:right="5612"/>
              <w:spacing w:after="0"/>
              <w:rPr>
                <w:sz w:val="20"/>
                <w:szCs w:val="20"/>
                <w:color w:val="auto"/>
              </w:rPr>
            </w:pPr>
            <w:r>
              <w:rPr>
                <w:rFonts w:ascii="Times New Roman" w:cs="Times New Roman" w:eastAsia="Times New Roman" w:hAnsi="Times New Roman"/>
                <w:sz w:val="18"/>
                <w:szCs w:val="18"/>
                <w:color w:val="auto"/>
              </w:rPr>
              <w:t>2</w:t>
            </w:r>
          </w:p>
        </w:tc>
      </w:tr>
      <w:tr>
        <w:trPr>
          <w:trHeight w:val="143"/>
        </w:trPr>
        <w:tc>
          <w:tcPr>
            <w:tcW w:w="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9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2" w:name="page3"/>
    <w:bookmarkEnd w:id="2"/>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8120" w:type="dxa"/>
            <w:vAlign w:val="bottom"/>
            <w:gridSpan w:val="8"/>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w w:val="97"/>
              </w:rPr>
              <w:t>RUSH ENTERPRISES, INC. AND SUBSIDIARIES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40" w:type="dxa"/>
            <w:vAlign w:val="bottom"/>
            <w:tcBorders>
              <w:top w:val="single" w:sz="8" w:color="auto"/>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40" w:type="dxa"/>
            <w:vAlign w:val="bottom"/>
            <w:tcBorders>
              <w:top w:val="single" w:sz="8" w:color="auto"/>
            </w:tcBorders>
            <w:gridSpan w:val="2"/>
          </w:tcPr>
          <w:p>
            <w:pPr>
              <w:spacing w:after="0"/>
              <w:rPr>
                <w:sz w:val="16"/>
                <w:szCs w:val="16"/>
                <w:color w:val="auto"/>
              </w:rPr>
            </w:pPr>
          </w:p>
        </w:tc>
        <w:tc>
          <w:tcPr>
            <w:tcW w:w="4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Borders>
              <w:bottom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MARCH 31, 2017 AND DECEMBER 31, 2016</w:t>
            </w:r>
          </w:p>
        </w:tc>
        <w:tc>
          <w:tcPr>
            <w:tcW w:w="66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5"/>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7"/>
              </w:rPr>
              <w:t>(In Thousands, Except Shares)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1"/>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000" w:type="dxa"/>
            <w:vAlign w:val="bottom"/>
            <w:tcBorders>
              <w:bottom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81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82,026</w:t>
            </w: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156,199</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10,166</w:t>
            </w: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872,907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840,304</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12,932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13,955</w:t>
            </w:r>
          </w:p>
        </w:tc>
      </w:tr>
      <w:tr>
        <w:trPr>
          <w:trHeight w:val="204"/>
        </w:trPr>
        <w:tc>
          <w:tcPr>
            <w:tcW w:w="8120" w:type="dxa"/>
            <w:vAlign w:val="bottom"/>
            <w:gridSpan w:val="8"/>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1,163,545</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1,111,448</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1,124,746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1,135,805</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290,191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290,191</w:t>
            </w:r>
          </w:p>
        </w:tc>
        <w:tc>
          <w:tcPr>
            <w:tcW w:w="100" w:type="dxa"/>
            <w:vAlign w:val="bottom"/>
          </w:tcPr>
          <w:p>
            <w:pPr>
              <w:spacing w:after="0"/>
              <w:rPr>
                <w:sz w:val="18"/>
                <w:szCs w:val="18"/>
                <w:color w:val="auto"/>
              </w:rPr>
            </w:pPr>
          </w:p>
        </w:tc>
      </w:tr>
      <w:tr>
        <w:trPr>
          <w:trHeight w:val="211"/>
        </w:trPr>
        <w:tc>
          <w:tcPr>
            <w:tcW w:w="81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81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2,639,561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2,603,047</w:t>
            </w:r>
          </w:p>
        </w:tc>
        <w:tc>
          <w:tcPr>
            <w:tcW w:w="10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000" w:type="dxa"/>
            <w:vAlign w:val="bottom"/>
            <w:tcBorders>
              <w:top w:val="single" w:sz="8" w:color="auto"/>
            </w:tcBorders>
            <w:gridSpan w:val="7"/>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684,595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646,945</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130,717</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20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14,623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14,449</w:t>
            </w: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99,534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97,844</w:t>
            </w: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16,217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18,418</w:t>
            </w: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83,974</w:t>
            </w:r>
          </w:p>
        </w:tc>
      </w:tr>
      <w:tr>
        <w:trPr>
          <w:trHeight w:val="204"/>
        </w:trPr>
        <w:tc>
          <w:tcPr>
            <w:tcW w:w="8120" w:type="dxa"/>
            <w:vAlign w:val="bottom"/>
            <w:gridSpan w:val="8"/>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1,023,408</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993,130</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459,817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472,503</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67,994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70,044</w:t>
            </w: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198,739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197,331</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2017 and 2016</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8120" w:type="dxa"/>
            <w:vAlign w:val="bottom"/>
            <w:gridSpan w:val="8"/>
          </w:tcPr>
          <w:p>
            <w:pPr>
              <w:ind w:left="160"/>
              <w:spacing w:after="0" w:line="193"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1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authorized; 30,481,059 Class A shares and 9,200,199 Class B shares outstanding in 2017; and 30,007,088</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Class A shares and 9,245,447 Class B shares outstanding in 2016</w:t>
            </w:r>
          </w:p>
        </w:tc>
        <w:tc>
          <w:tcPr>
            <w:tcW w:w="200" w:type="dxa"/>
            <w:vAlign w:val="bottom"/>
          </w:tcPr>
          <w:p>
            <w:pPr>
              <w:spacing w:after="0"/>
              <w:rPr>
                <w:sz w:val="19"/>
                <w:szCs w:val="19"/>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12"/>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320,730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309,127</w:t>
            </w:r>
          </w:p>
        </w:tc>
        <w:tc>
          <w:tcPr>
            <w:tcW w:w="100" w:type="dxa"/>
            <w:vAlign w:val="bottom"/>
            <w:shd w:val="clear" w:color="auto" w:fill="CCEEFF"/>
          </w:tcPr>
          <w:p>
            <w:pPr>
              <w:spacing w:after="0"/>
              <w:rPr>
                <w:sz w:val="18"/>
                <w:szCs w:val="18"/>
                <w:color w:val="auto"/>
              </w:rPr>
            </w:pPr>
          </w:p>
        </w:tc>
      </w:tr>
      <w:tr>
        <w:trPr>
          <w:trHeight w:val="193"/>
        </w:trPr>
        <w:tc>
          <w:tcPr>
            <w:tcW w:w="8120" w:type="dxa"/>
            <w:vAlign w:val="bottom"/>
            <w:gridSpan w:val="8"/>
          </w:tcPr>
          <w:p>
            <w:pPr>
              <w:ind w:left="160"/>
              <w:spacing w:after="0" w:line="193" w:lineRule="exact"/>
              <w:rPr>
                <w:sz w:val="20"/>
                <w:szCs w:val="20"/>
                <w:color w:val="auto"/>
              </w:rPr>
            </w:pPr>
            <w:r>
              <w:rPr>
                <w:rFonts w:ascii="Times New Roman" w:cs="Times New Roman" w:eastAsia="Times New Roman" w:hAnsi="Times New Roman"/>
                <w:sz w:val="18"/>
                <w:szCs w:val="18"/>
                <w:color w:val="auto"/>
              </w:rPr>
              <w:t>Treasury stock, at cost: 934,171 class A shares and 3,894,409 class B shares in 2017 and 934,171 class A</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81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shares and 3,650,491 class B shares in 2016</w:t>
            </w:r>
          </w:p>
        </w:tc>
        <w:tc>
          <w:tcPr>
            <w:tcW w:w="20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(94,442)</w:t>
            </w:r>
          </w:p>
        </w:tc>
        <w:tc>
          <w:tcPr>
            <w:tcW w:w="1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(86,882)</w:t>
            </w:r>
          </w:p>
        </w:tc>
      </w:tr>
      <w:tr>
        <w:trPr>
          <w:trHeight w:val="212"/>
        </w:trPr>
        <w:tc>
          <w:tcPr>
            <w:tcW w:w="81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654,907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640,428</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04"/>
        </w:trPr>
        <w:tc>
          <w:tcPr>
            <w:tcW w:w="8120" w:type="dxa"/>
            <w:vAlign w:val="bottom"/>
            <w:tcBorders>
              <w:bottom w:val="single" w:sz="8" w:color="CCEEFF"/>
            </w:tcBorders>
            <w:gridSpan w:val="8"/>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881,354</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862,825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1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2,639,561</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2,603,047</w:t>
            </w:r>
          </w:p>
        </w:tc>
        <w:tc>
          <w:tcPr>
            <w:tcW w:w="10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27075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4"/>
          </w:tcPr>
          <w:p>
            <w:pPr>
              <w:jc w:val="right"/>
              <w:ind w:right="712"/>
              <w:spacing w:after="0" w:line="20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r>
      <w:tr>
        <w:trPr>
          <w:trHeight w:val="231"/>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line="205" w:lineRule="exact"/>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line="205"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r>
      <w:tr>
        <w:trPr>
          <w:trHeight w:val="204"/>
        </w:trPr>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635,953</w:t>
            </w:r>
          </w:p>
        </w:tc>
        <w:tc>
          <w:tcPr>
            <w:tcW w:w="24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668,545</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341,939</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50,887</w:t>
            </w: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18"/>
                <w:szCs w:val="18"/>
                <w:color w:val="auto"/>
              </w:rPr>
            </w:pPr>
          </w:p>
        </w:tc>
      </w:tr>
      <w:tr>
        <w:trPr>
          <w:trHeight w:val="204"/>
        </w:trPr>
        <w:tc>
          <w:tcPr>
            <w:tcW w:w="8120" w:type="dxa"/>
            <w:vAlign w:val="bottom"/>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1,044,797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1,070,840</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588,120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623,660</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218,243</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45,667</w:t>
            </w:r>
          </w:p>
        </w:tc>
      </w:tr>
      <w:tr>
        <w:trPr>
          <w:trHeight w:val="204"/>
        </w:trPr>
        <w:tc>
          <w:tcPr>
            <w:tcW w:w="8120" w:type="dxa"/>
            <w:vAlign w:val="bottom"/>
            <w:tcBorders>
              <w:top w:val="single" w:sz="8" w:color="CCEEFF"/>
            </w:tcBorders>
          </w:tcPr>
          <w:p>
            <w:pPr>
              <w:ind w:left="160"/>
              <w:spacing w:after="0" w:line="204" w:lineRule="exact"/>
              <w:rPr>
                <w:sz w:val="20"/>
                <w:szCs w:val="20"/>
                <w:color w:val="auto"/>
              </w:rPr>
            </w:pPr>
            <w:r>
              <w:rPr>
                <w:rFonts w:ascii="Times New Roman" w:cs="Times New Roman" w:eastAsia="Times New Roman" w:hAnsi="Times New Roman"/>
                <w:sz w:val="18"/>
                <w:szCs w:val="18"/>
                <w:color w:val="auto"/>
              </w:rPr>
              <w:t>Total cost of products sold</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856,890</w:t>
            </w: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887,570</w:t>
            </w:r>
          </w:p>
        </w:tc>
        <w:tc>
          <w:tcPr>
            <w:tcW w:w="100" w:type="dxa"/>
            <w:vAlign w:val="bottom"/>
            <w:tcBorders>
              <w:top w:val="single" w:sz="8" w:color="CCEEFF"/>
            </w:tcBorders>
          </w:tcPr>
          <w:p>
            <w:pPr>
              <w:spacing w:after="0"/>
              <w:rPr>
                <w:sz w:val="17"/>
                <w:szCs w:val="17"/>
                <w:color w:val="auto"/>
              </w:rPr>
            </w:pP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187,907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183,270</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162,452</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12,647</w:t>
            </w: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24,849</w:t>
            </w: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8,181</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8"/>
                <w:szCs w:val="18"/>
                <w:color w:val="auto"/>
              </w:rPr>
            </w:pP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Income before taxes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22,058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r>
      <w:tr>
        <w:trPr>
          <w:trHeight w:val="244"/>
        </w:trPr>
        <w:tc>
          <w:tcPr>
            <w:tcW w:w="812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5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14,479</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1"/>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1"/>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40,553</w:t>
            </w:r>
          </w:p>
        </w:tc>
      </w:tr>
      <w:tr>
        <w:trPr>
          <w:trHeight w:val="211"/>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41,049</w:t>
            </w:r>
          </w:p>
        </w:tc>
      </w:tr>
      <w:tr>
        <w:trPr>
          <w:trHeight w:val="211"/>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20" w:type="dxa"/>
            <w:vAlign w:val="bottom"/>
          </w:tcPr>
          <w:p>
            <w:pPr>
              <w:spacing w:after="0"/>
              <w:rPr>
                <w:sz w:val="18"/>
                <w:szCs w:val="18"/>
                <w:color w:val="auto"/>
              </w:rPr>
            </w:pPr>
          </w:p>
        </w:tc>
        <w:tc>
          <w:tcPr>
            <w:tcW w:w="33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1"/>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1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line="205"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4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39,073</w:t>
            </w: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on sale of property and equipment, net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9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(7,585)</w:t>
            </w: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Excess tax expense from stock-based compensation</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(12,901)</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inventories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(19,376)</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49,921</w:t>
            </w: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21,384</w:t>
            </w: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(16,520)</w:t>
            </w: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Draws (payments) on floor plan notes payable – trade, net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w:t>
            </w:r>
          </w:p>
        </w:tc>
      </w:tr>
      <w:tr>
        <w:trPr>
          <w:trHeight w:val="211"/>
        </w:trPr>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(7,163)</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(5,567)</w:t>
            </w:r>
          </w:p>
        </w:tc>
      </w:tr>
      <w:tr>
        <w:trPr>
          <w:trHeight w:val="204"/>
        </w:trPr>
        <w:tc>
          <w:tcPr>
            <w:tcW w:w="8120" w:type="dxa"/>
            <w:vAlign w:val="bottom"/>
            <w:tcBorders>
              <w:bottom w:val="single" w:sz="8" w:color="CCEEFF"/>
            </w:tcBorders>
            <w:shd w:val="clear" w:color="auto" w:fill="CCEEFF"/>
          </w:tcPr>
          <w:p>
            <w:pPr>
              <w:ind w:left="640"/>
              <w:spacing w:after="0" w:line="204"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37,525</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101,238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12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(39,209)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(53,880)</w:t>
            </w: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r>
      <w:tr>
        <w:trPr>
          <w:trHeight w:val="211"/>
        </w:trPr>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8120" w:type="dxa"/>
            <w:vAlign w:val="bottom"/>
          </w:tcPr>
          <w:p>
            <w:pPr>
              <w:ind w:left="640"/>
              <w:spacing w:after="0" w:line="204"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7"/>
                <w:szCs w:val="17"/>
                <w:color w:val="auto"/>
              </w:rPr>
            </w:pPr>
          </w:p>
        </w:tc>
        <w:tc>
          <w:tcPr>
            <w:tcW w:w="800" w:type="dxa"/>
            <w:vAlign w:val="bottom"/>
            <w:gridSpan w:val="2"/>
          </w:tcPr>
          <w:p>
            <w:pPr>
              <w:jc w:val="right"/>
              <w:ind w:right="180"/>
              <w:spacing w:after="0" w:line="204" w:lineRule="exact"/>
              <w:rPr>
                <w:sz w:val="20"/>
                <w:szCs w:val="20"/>
                <w:color w:val="auto"/>
              </w:rPr>
            </w:pPr>
            <w:r>
              <w:rPr>
                <w:rFonts w:ascii="Times New Roman" w:cs="Times New Roman" w:eastAsia="Times New Roman" w:hAnsi="Times New Roman"/>
                <w:sz w:val="18"/>
                <w:szCs w:val="18"/>
                <w:color w:val="auto"/>
                <w:w w:val="97"/>
              </w:rPr>
              <w:t>(32,449)</w:t>
            </w:r>
          </w:p>
        </w:tc>
        <w:tc>
          <w:tcPr>
            <w:tcW w:w="400" w:type="dxa"/>
            <w:vAlign w:val="bottom"/>
          </w:tcPr>
          <w:p>
            <w:pPr>
              <w:spacing w:after="0"/>
              <w:rPr>
                <w:sz w:val="17"/>
                <w:szCs w:val="17"/>
                <w:color w:val="auto"/>
              </w:rPr>
            </w:pPr>
          </w:p>
        </w:tc>
        <w:tc>
          <w:tcPr>
            <w:tcW w:w="1160" w:type="dxa"/>
            <w:vAlign w:val="bottom"/>
            <w:gridSpan w:val="2"/>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(52,588)</w:t>
            </w: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(26,982)</w:t>
            </w: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32,194</w:t>
            </w: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(38,113)</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(42,503)</w:t>
            </w: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w:t>
            </w: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shares relating to employee stock options and employee stock purchases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8"/>
                <w:szCs w:val="18"/>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expense from stock-based compensation</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w:t>
            </w:r>
          </w:p>
        </w:tc>
      </w:tr>
      <w:tr>
        <w:trPr>
          <w:trHeight w:val="211"/>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(7,560)</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8120" w:type="dxa"/>
            <w:vAlign w:val="bottom"/>
          </w:tcPr>
          <w:p>
            <w:pPr>
              <w:ind w:left="480"/>
              <w:spacing w:after="0" w:line="204"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1,971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(40,836)</w:t>
            </w:r>
          </w:p>
        </w:tc>
      </w:tr>
      <w:tr>
        <w:trPr>
          <w:trHeight w:val="204"/>
        </w:trPr>
        <w:tc>
          <w:tcPr>
            <w:tcW w:w="8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7,047</w:t>
            </w: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17"/>
                <w:szCs w:val="17"/>
                <w:color w:val="auto"/>
              </w:rPr>
            </w:pPr>
          </w:p>
        </w:tc>
      </w:tr>
      <w:tr>
        <w:trPr>
          <w:trHeight w:val="211"/>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64,847</w:t>
            </w:r>
          </w:p>
        </w:tc>
      </w:tr>
      <w:tr>
        <w:trPr>
          <w:trHeight w:val="244"/>
        </w:trPr>
        <w:tc>
          <w:tcPr>
            <w:tcW w:w="812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top w:val="single" w:sz="8" w:color="auto"/>
              <w:bottom w:val="single" w:sz="8" w:color="auto"/>
            </w:tcBorders>
            <w:shd w:val="clear" w:color="auto" w:fill="CCEEFF"/>
          </w:tcPr>
          <w:p>
            <w:pPr>
              <w:jc w:val="right"/>
              <w:ind w:right="75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89,073</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72,661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1"/>
        </w:trPr>
        <w:tc>
          <w:tcPr>
            <w:tcW w:w="81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10,265</w:t>
            </w:r>
          </w:p>
        </w:tc>
      </w:tr>
      <w:tr>
        <w:trPr>
          <w:trHeight w:val="20"/>
        </w:trPr>
        <w:tc>
          <w:tcPr>
            <w:tcW w:w="8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8120" w:type="dxa"/>
            <w:vAlign w:val="bottom"/>
            <w:tcBorders>
              <w:bottom w:val="single" w:sz="8" w:color="CCEEFF"/>
            </w:tcBorders>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Income taxes (refunded) paid, net</w:t>
            </w:r>
          </w:p>
        </w:tc>
        <w:tc>
          <w:tcPr>
            <w:tcW w:w="940" w:type="dxa"/>
            <w:vAlign w:val="bottom"/>
            <w:tcBorders>
              <w:bottom w:val="single" w:sz="8" w:color="auto"/>
            </w:tcBorders>
            <w:shd w:val="clear" w:color="auto" w:fill="CCEEFF"/>
          </w:tcPr>
          <w:p>
            <w:pPr>
              <w:jc w:val="right"/>
              <w:ind w:right="752"/>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6,201</w:t>
            </w:r>
          </w:p>
        </w:tc>
        <w:tc>
          <w:tcPr>
            <w:tcW w:w="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(15,015)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1"/>
        </w:trPr>
        <w:tc>
          <w:tcPr>
            <w:tcW w:w="81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8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17" w:lineRule="exact"/>
        <w:rPr>
          <w:sz w:val="20"/>
          <w:szCs w:val="20"/>
          <w:color w:val="auto"/>
        </w:rPr>
      </w:pPr>
    </w:p>
    <w:p>
      <w:pPr>
        <w:jc w:val="both"/>
        <w:ind w:right="100" w:firstLine="634"/>
        <w:spacing w:after="0" w:line="248"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2016. Results of operations for interim periods are not necessarily indicative of results that may be expected for any other interim periods 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Other Assets</w:t>
      </w:r>
    </w:p>
    <w:p>
      <w:pPr>
        <w:spacing w:after="0" w:line="217" w:lineRule="exact"/>
        <w:rPr>
          <w:sz w:val="20"/>
          <w:szCs w:val="20"/>
          <w:color w:val="auto"/>
        </w:rPr>
      </w:pPr>
    </w:p>
    <w:p>
      <w:pPr>
        <w:jc w:val="both"/>
        <w:ind w:right="100" w:firstLine="634"/>
        <w:spacing w:after="0" w:line="257" w:lineRule="auto"/>
        <w:rPr>
          <w:sz w:val="20"/>
          <w:szCs w:val="20"/>
          <w:color w:val="auto"/>
        </w:rPr>
      </w:pPr>
      <w:r>
        <w:rPr>
          <w:rFonts w:ascii="Times New Roman" w:cs="Times New Roman" w:eastAsia="Times New Roman" w:hAnsi="Times New Roman"/>
          <w:sz w:val="18"/>
          <w:szCs w:val="18"/>
          <w:color w:val="auto"/>
        </w:rPr>
        <w:t>The total capitalized costs of the Company’s SAP enterprise software and SAP dealership management system of $32.2 million, including capitalized interest, are recorded on the Consolidated Balance Sheet in Other Assets, net of accumulated amortization of $17.4 million at March 31, 2017. The SAP software is being amortized over a period of 15 years.</w:t>
      </w:r>
    </w:p>
    <w:p>
      <w:pPr>
        <w:spacing w:after="0" w:line="180" w:lineRule="exact"/>
        <w:rPr>
          <w:sz w:val="20"/>
          <w:szCs w:val="20"/>
          <w:color w:val="auto"/>
        </w:rPr>
      </w:pPr>
    </w:p>
    <w:p>
      <w:pPr>
        <w:jc w:val="both"/>
        <w:ind w:right="80" w:firstLine="634"/>
        <w:spacing w:after="0" w:line="257"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 of Income, was $0.9 million for the three months ended March 31, 2017, and $0.8 million for the three months ended March 31, 2016. The Company estimates that amortization expense relating to the SAP software will be approximately $3.4 million for each of the next five succeeding years.</w:t>
      </w:r>
    </w:p>
    <w:p>
      <w:pPr>
        <w:spacing w:after="0" w:line="180" w:lineRule="exact"/>
        <w:rPr>
          <w:sz w:val="20"/>
          <w:szCs w:val="20"/>
          <w:color w:val="auto"/>
        </w:rPr>
      </w:pPr>
    </w:p>
    <w:p>
      <w:pPr>
        <w:jc w:val="both"/>
        <w:ind w:right="80" w:firstLine="634"/>
        <w:spacing w:after="0" w:line="285" w:lineRule="auto"/>
        <w:rPr>
          <w:sz w:val="20"/>
          <w:szCs w:val="20"/>
          <w:color w:val="auto"/>
        </w:rPr>
      </w:pPr>
      <w:r>
        <w:rPr>
          <w:rFonts w:ascii="Times New Roman" w:cs="Times New Roman" w:eastAsia="Times New Roman" w:hAnsi="Times New Roman"/>
          <w:sz w:val="16"/>
          <w:szCs w:val="16"/>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March 31, 2017, and December 31, 2016,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0" w:lineRule="exact"/>
        <w:rPr>
          <w:sz w:val="20"/>
          <w:szCs w:val="20"/>
          <w:color w:val="auto"/>
        </w:rPr>
      </w:pPr>
    </w:p>
    <w:p>
      <w:pPr>
        <w:jc w:val="both"/>
        <w:ind w:right="80" w:firstLine="634"/>
        <w:spacing w:after="0" w:line="251"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a geographic region, the Company has determined that evaluating and including all locations acquired in the geographic region is the appropriate level for the purpose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 within a particular region.</w:t>
      </w:r>
    </w:p>
    <w:p>
      <w:pPr>
        <w:spacing w:after="0" w:line="185" w:lineRule="exact"/>
        <w:rPr>
          <w:sz w:val="20"/>
          <w:szCs w:val="20"/>
          <w:color w:val="auto"/>
        </w:rPr>
      </w:pPr>
    </w:p>
    <w:p>
      <w:pPr>
        <w:jc w:val="both"/>
        <w:ind w:right="80" w:firstLine="634"/>
        <w:spacing w:after="0" w:line="251"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5" w:lineRule="exact"/>
        <w:rPr>
          <w:sz w:val="20"/>
          <w:szCs w:val="20"/>
          <w:color w:val="auto"/>
        </w:rPr>
      </w:pPr>
    </w:p>
    <w:p>
      <w:pPr>
        <w:ind w:firstLine="634"/>
        <w:spacing w:after="0" w:line="270" w:lineRule="auto"/>
        <w:rPr>
          <w:sz w:val="20"/>
          <w:szCs w:val="20"/>
          <w:color w:val="auto"/>
        </w:rPr>
      </w:pPr>
      <w:r>
        <w:rPr>
          <w:rFonts w:ascii="Times New Roman" w:cs="Times New Roman" w:eastAsia="Times New Roman" w:hAnsi="Times New Roman"/>
          <w:sz w:val="18"/>
          <w:szCs w:val="18"/>
          <w:color w:val="auto"/>
        </w:rPr>
        <w:t>No impairment write down was required in any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bookmarkStart w:id="6" w:name="page7"/>
    <w:bookmarkEnd w:id="6"/>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jc w:val="right"/>
              <w:ind w:right="278"/>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17"/>
                <w:szCs w:val="17"/>
                <w:color w:val="auto"/>
              </w:rPr>
            </w:pPr>
          </w:p>
        </w:tc>
        <w:tc>
          <w:tcPr>
            <w:tcW w:w="11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2016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1020" w:type="dxa"/>
            <w:vAlign w:val="bottom"/>
            <w:gridSpan w:val="2"/>
            <w:vMerge w:val="restart"/>
          </w:tcPr>
          <w:p>
            <w:pPr>
              <w:jc w:val="right"/>
              <w:ind w:right="86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160" w:type="dxa"/>
            <w:vAlign w:val="bottom"/>
            <w:gridSpan w:val="2"/>
            <w:vMerge w:val="restart"/>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shareholders</w:t>
            </w:r>
          </w:p>
        </w:tc>
        <w:tc>
          <w:tcPr>
            <w:tcW w:w="10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Effect of dilutive securities– Employee stock options and restricted stock</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40,701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ind w:left="300"/>
              <w:spacing w:after="0" w:line="190" w:lineRule="exact"/>
              <w:rPr>
                <w:sz w:val="20"/>
                <w:szCs w:val="20"/>
                <w:color w:val="auto"/>
              </w:rPr>
            </w:pPr>
            <w:r>
              <w:rPr>
                <w:rFonts w:ascii="Times New Roman" w:cs="Times New Roman" w:eastAsia="Times New Roman" w:hAnsi="Times New Roman"/>
                <w:sz w:val="18"/>
                <w:szCs w:val="18"/>
                <w:color w:val="auto"/>
              </w:rPr>
              <w:t>shares outstanding and assumed conversions</w:t>
            </w:r>
          </w:p>
        </w:tc>
        <w:tc>
          <w:tcPr>
            <w:tcW w:w="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76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1020" w:type="dxa"/>
            <w:vAlign w:val="bottom"/>
            <w:gridSpan w:val="2"/>
          </w:tcPr>
          <w:p>
            <w:pPr>
              <w:jc w:val="right"/>
              <w:ind w:right="86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w:t>
            </w:r>
          </w:p>
        </w:tc>
        <w:tc>
          <w:tcPr>
            <w:tcW w:w="1160" w:type="dxa"/>
            <w:vAlign w:val="bottom"/>
            <w:gridSpan w:val="2"/>
          </w:tcPr>
          <w:p>
            <w:pPr>
              <w:jc w:val="right"/>
              <w:ind w:right="838"/>
              <w:spacing w:after="0" w:line="19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1901"/>
        <w:spacing w:after="0" w:line="270"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2017 and 2016 that were not included in the computation of diluted earnings per share because the effect would have been anti-dilutive are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March 31, 2017</w:t>
            </w: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March 31, 2016</w:t>
            </w:r>
          </w:p>
        </w:tc>
        <w:tc>
          <w:tcPr>
            <w:tcW w:w="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 average anti-dilutive options</w:t>
            </w:r>
          </w:p>
        </w:tc>
        <w:tc>
          <w:tcPr>
            <w:tcW w:w="15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729</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2,520</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17" w:lineRule="exact"/>
        <w:rPr>
          <w:sz w:val="20"/>
          <w:szCs w:val="20"/>
          <w:color w:val="auto"/>
        </w:rPr>
      </w:pPr>
    </w:p>
    <w:p>
      <w:pPr>
        <w:jc w:val="both"/>
        <w:ind w:firstLine="634"/>
        <w:spacing w:after="0" w:line="247"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 The Company adopted Accounting Standards Update (“ASU”) No. 2016-09,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(Topic 718) </w:t>
      </w:r>
      <w:r>
        <w:rPr>
          <w:rFonts w:ascii="Times New Roman" w:cs="Times New Roman" w:eastAsia="Times New Roman" w:hAnsi="Times New Roman"/>
          <w:sz w:val="18"/>
          <w:szCs w:val="18"/>
          <w:color w:val="auto"/>
        </w:rPr>
        <w:t>on January 1, 2017. The Company recorded excess tax benefits of $1.1 million in the first quarter of 2017, which was recorded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Statements of Income and Comprehensive Income. Stock-based compensation expense, calculated using the Black-Scholes option-pricing model for employee stock options, and included in selling, general and administrative expense, was $4.8 million for the three months ended March 31, 2017, and $3.6 million for the three months ended March 31, 2016. As of March 31, 2017, the Company had $11.6 million of unrecognized compensation cost related to non-vested employee stock options to be recognized over a weighted-average period of 3.2 years and $11.3 million of unrecognized compensation cost related to non-vested restricted stock units to be recognized over a weighted-average period of 2.0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17"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40"/>
          </w:cols>
          <w:pgMar w:left="240" w:top="114" w:right="619" w:bottom="1440" w:gutter="0" w:footer="0" w:header="0"/>
        </w:sectPr>
      </w:pPr>
    </w:p>
    <w:bookmarkStart w:id="7" w:name="page8"/>
    <w:bookmarkEnd w:id="7"/>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0"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8"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0"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68"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2017, and December 31, 2016. The carrying value of current assets and current liabilities approximates the fair value due to the short maturity of these items.</w:t>
      </w:r>
    </w:p>
    <w:p>
      <w:pPr>
        <w:spacing w:after="0" w:line="183" w:lineRule="exact"/>
        <w:rPr>
          <w:sz w:val="20"/>
          <w:szCs w:val="20"/>
          <w:color w:val="auto"/>
        </w:rPr>
      </w:pPr>
    </w:p>
    <w:p>
      <w:pPr>
        <w:jc w:val="both"/>
        <w:ind w:right="20" w:firstLine="634"/>
        <w:spacing w:after="0" w:line="25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5"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Auction Rate Securities</w:t>
      </w:r>
    </w:p>
    <w:p>
      <w:pPr>
        <w:spacing w:after="0" w:line="217"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3"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5"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As of March 31, 2017 and December 31, 2016, the Company held auction rate securities with underlying tax-exempt municipal bonds that mature in 2030 and have a fair value of $6.2 million and a cost basis of $6.7 million. The issuer redeemed $150,000 of the auction rate securities during the second quarter of 2014, $275,000 during the second quarter of 2015, $250,000 during the second quarter of 2016, and $200,000 during the third quarter of 2016. These bonds have credit wrap insurance and a credit rating of A by a major credit rating agency.</w:t>
      </w:r>
    </w:p>
    <w:p>
      <w:pPr>
        <w:spacing w:after="0" w:line="183" w:lineRule="exact"/>
        <w:rPr>
          <w:sz w:val="20"/>
          <w:szCs w:val="20"/>
          <w:color w:val="auto"/>
        </w:rPr>
      </w:pPr>
    </w:p>
    <w:p>
      <w:pPr>
        <w:jc w:val="both"/>
        <w:ind w:firstLine="634"/>
        <w:spacing w:after="0" w:line="283" w:lineRule="auto"/>
        <w:rPr>
          <w:sz w:val="20"/>
          <w:szCs w:val="20"/>
          <w:color w:val="auto"/>
        </w:rPr>
      </w:pPr>
      <w:r>
        <w:rPr>
          <w:rFonts w:ascii="Times New Roman" w:cs="Times New Roman" w:eastAsia="Times New Roman" w:hAnsi="Times New Roman"/>
          <w:sz w:val="16"/>
          <w:szCs w:val="16"/>
          <w:color w:val="auto"/>
        </w:rPr>
        <w:t>The Company valued the auction rate securities at March 31, 2017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60"/>
          </w:cols>
          <w:pgMar w:left="240" w:top="114" w:right="599" w:bottom="1440" w:gutter="0" w:footer="0" w:header="0"/>
        </w:sectPr>
      </w:pPr>
    </w:p>
    <w:bookmarkStart w:id="8" w:name="page9"/>
    <w:bookmarkEnd w:id="8"/>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both"/>
        <w:ind w:right="480" w:firstLine="634"/>
        <w:spacing w:after="0" w:line="257"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80" w:lineRule="exact"/>
        <w:rPr>
          <w:sz w:val="20"/>
          <w:szCs w:val="20"/>
          <w:color w:val="auto"/>
        </w:rPr>
      </w:pPr>
    </w:p>
    <w:p>
      <w:pPr>
        <w:jc w:val="both"/>
        <w:ind w:right="460" w:firstLine="634"/>
        <w:spacing w:after="0" w:line="270"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At March 31, 2017</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10"/>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At December 31, 2016</w:t>
            </w:r>
          </w:p>
        </w:tc>
      </w:tr>
      <w:tr>
        <w:trPr>
          <w:trHeight w:val="185"/>
        </w:trPr>
        <w:tc>
          <w:tcPr>
            <w:tcW w:w="3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00" w:type="dxa"/>
            <w:vAlign w:val="bottom"/>
            <w:tcBorders>
              <w:top w:val="single" w:sz="8" w:color="auto"/>
            </w:tcBorders>
          </w:tcPr>
          <w:p>
            <w:pPr>
              <w:jc w:val="center"/>
              <w:ind w:left="72"/>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5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560"/>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880" w:type="dxa"/>
            <w:vAlign w:val="bottom"/>
            <w:tcBorders>
              <w:top w:val="single" w:sz="8" w:color="auto"/>
            </w:tcBorders>
          </w:tcPr>
          <w:p>
            <w:pPr>
              <w:jc w:val="center"/>
              <w:ind w:right="92"/>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532"/>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660" w:type="dxa"/>
            <w:vAlign w:val="bottom"/>
            <w:tcBorders>
              <w:top w:val="single" w:sz="8" w:color="auto"/>
            </w:tcBorders>
            <w:gridSpan w:val="2"/>
          </w:tcPr>
          <w:p>
            <w:pPr>
              <w:jc w:val="center"/>
              <w:ind w:right="40"/>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2"/>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520" w:type="dxa"/>
            <w:vAlign w:val="bottom"/>
          </w:tcPr>
          <w:p>
            <w:pPr>
              <w:spacing w:after="0"/>
              <w:rPr>
                <w:sz w:val="20"/>
                <w:szCs w:val="20"/>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05"/>
        </w:trPr>
        <w:tc>
          <w:tcPr>
            <w:tcW w:w="320" w:type="dxa"/>
            <w:vAlign w:val="bottom"/>
          </w:tcPr>
          <w:p>
            <w:pPr>
              <w:spacing w:after="0"/>
              <w:rPr>
                <w:sz w:val="17"/>
                <w:szCs w:val="17"/>
                <w:color w:val="auto"/>
              </w:rPr>
            </w:pPr>
          </w:p>
        </w:tc>
        <w:tc>
          <w:tcPr>
            <w:tcW w:w="2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Investment in auction rate securities</w:t>
            </w:r>
          </w:p>
        </w:tc>
        <w:tc>
          <w:tcPr>
            <w:tcW w:w="900" w:type="dxa"/>
            <w:vAlign w:val="bottom"/>
            <w:tcBorders>
              <w:top w:val="single" w:sz="8" w:color="auto"/>
            </w:tcBorders>
            <w:shd w:val="clear" w:color="auto" w:fill="CCEEFF"/>
          </w:tcPr>
          <w:p>
            <w:pPr>
              <w:jc w:val="right"/>
              <w:ind w:right="7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top w:val="single" w:sz="8" w:color="auto"/>
            </w:tcBorders>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tcBorders>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6,231</w:t>
            </w:r>
          </w:p>
        </w:tc>
        <w:tc>
          <w:tcPr>
            <w:tcW w:w="400" w:type="dxa"/>
            <w:vAlign w:val="bottom"/>
            <w:tcBorders>
              <w:top w:val="single" w:sz="8" w:color="auto"/>
            </w:tcBorders>
            <w:gridSpan w:val="2"/>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6,231</w:t>
            </w:r>
          </w:p>
        </w:tc>
        <w:tc>
          <w:tcPr>
            <w:tcW w:w="8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13"/>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Loss 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24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05"/>
        </w:trPr>
        <w:tc>
          <w:tcPr>
            <w:tcW w:w="33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March 31, 2017</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6,700</w:t>
            </w:r>
          </w:p>
        </w:tc>
        <w:tc>
          <w:tcPr>
            <w:tcW w:w="1200" w:type="dxa"/>
            <w:vAlign w:val="bottom"/>
            <w:gridSpan w:val="2"/>
          </w:tcPr>
          <w:p>
            <w:pPr>
              <w:jc w:val="center"/>
              <w:ind w:right="5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6,231</w:t>
            </w:r>
          </w:p>
        </w:tc>
      </w:tr>
      <w:tr>
        <w:trPr>
          <w:trHeight w:val="204"/>
        </w:trPr>
        <w:tc>
          <w:tcPr>
            <w:tcW w:w="330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6,700</w:t>
            </w:r>
          </w:p>
        </w:tc>
        <w:tc>
          <w:tcPr>
            <w:tcW w:w="1200" w:type="dxa"/>
            <w:vAlign w:val="bottom"/>
            <w:gridSpan w:val="2"/>
            <w:shd w:val="clear" w:color="auto" w:fill="CCEEFF"/>
          </w:tcPr>
          <w:p>
            <w:pPr>
              <w:jc w:val="center"/>
              <w:ind w:right="5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6,231</w:t>
            </w:r>
          </w:p>
        </w:tc>
      </w:tr>
      <w:tr>
        <w:trPr>
          <w:trHeight w:val="20"/>
        </w:trPr>
        <w:tc>
          <w:tcPr>
            <w:tcW w:w="32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Du</w:t>
      </w:r>
    </w:p>
    <w:p>
      <w:pPr>
        <w:spacing w:after="0" w:line="4" w:lineRule="exact"/>
        <w:rPr>
          <w:sz w:val="20"/>
          <w:szCs w:val="20"/>
          <w:color w:val="auto"/>
        </w:rPr>
      </w:pPr>
    </w:p>
    <w:p>
      <w:pPr>
        <w:jc w:val="both"/>
        <w:ind w:right="460"/>
        <w:spacing w:after="0" w:line="247" w:lineRule="auto"/>
        <w:rPr>
          <w:sz w:val="20"/>
          <w:szCs w:val="20"/>
          <w:color w:val="auto"/>
        </w:rPr>
      </w:pPr>
      <w:r>
        <w:rPr>
          <w:rFonts w:ascii="Times New Roman" w:cs="Times New Roman" w:eastAsia="Times New Roman" w:hAnsi="Times New Roman"/>
          <w:sz w:val="18"/>
          <w:szCs w:val="18"/>
          <w:color w:val="auto"/>
        </w:rPr>
        <w:t>the first quarter of 2016, the Company instituted plans to consolidate its dealership network. The Company recorded an impairment charge related to the value of the real estate in the affected locations and excess real estate in the amount of $7.1 million in the quarter ended March 31, 2016 and $0.4 million in the quarter ended June 30, 2016.</w:t>
      </w:r>
    </w:p>
    <w:p>
      <w:pPr>
        <w:spacing w:after="0" w:line="188" w:lineRule="exact"/>
        <w:rPr>
          <w:sz w:val="20"/>
          <w:szCs w:val="20"/>
          <w:color w:val="auto"/>
        </w:rPr>
      </w:pPr>
    </w:p>
    <w:p>
      <w:pPr>
        <w:jc w:val="both"/>
        <w:ind w:right="460" w:firstLine="634"/>
        <w:spacing w:after="0" w:line="270" w:lineRule="auto"/>
        <w:rPr>
          <w:sz w:val="20"/>
          <w:szCs w:val="20"/>
          <w:color w:val="auto"/>
        </w:rPr>
      </w:pPr>
      <w:r>
        <w:rPr>
          <w:rFonts w:ascii="Times New Roman" w:cs="Times New Roman" w:eastAsia="Times New Roman" w:hAnsi="Times New Roman"/>
          <w:sz w:val="18"/>
          <w:szCs w:val="18"/>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w:t>
      </w:r>
    </w:p>
    <w:p>
      <w:pPr>
        <w:spacing w:after="0" w:line="168" w:lineRule="exact"/>
        <w:rPr>
          <w:sz w:val="20"/>
          <w:szCs w:val="20"/>
          <w:color w:val="auto"/>
        </w:rPr>
      </w:pPr>
    </w:p>
    <w:p>
      <w:pPr>
        <w:jc w:val="both"/>
        <w:ind w:right="460" w:firstLine="634"/>
        <w:spacing w:after="0" w:line="270" w:lineRule="auto"/>
        <w:rPr>
          <w:sz w:val="20"/>
          <w:szCs w:val="20"/>
          <w:color w:val="auto"/>
        </w:rPr>
      </w:pPr>
      <w:r>
        <w:rPr>
          <w:rFonts w:ascii="Times New Roman" w:cs="Times New Roman" w:eastAsia="Times New Roman" w:hAnsi="Times New Roman"/>
          <w:sz w:val="18"/>
          <w:szCs w:val="18"/>
          <w:color w:val="auto"/>
        </w:rPr>
        <w:t>During the third and fourth quarter of 2016, the Company sold four properties with a fair value of $6.1 million and during the first quarter of 2017, the Company sold one property with a fair value of $1.0 million. The Company is actively marketing the remaining real estate held for sale.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long-lived assets measured and recorded at fair value on a nonrecurring basis (in thousands):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 Measurements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Using Significant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Loss During the</w:t>
            </w: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Unobservable Inputs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80" w:type="dxa"/>
            <w:vAlign w:val="bottom"/>
          </w:tcPr>
          <w:p>
            <w:pPr>
              <w:spacing w:after="0"/>
              <w:rPr>
                <w:sz w:val="18"/>
                <w:szCs w:val="18"/>
                <w:color w:val="auto"/>
              </w:rPr>
            </w:pPr>
          </w:p>
        </w:tc>
      </w:tr>
      <w:tr>
        <w:trPr>
          <w:trHeight w:val="231"/>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March 31, 2017</w:t>
            </w:r>
          </w:p>
        </w:tc>
        <w:tc>
          <w:tcPr>
            <w:tcW w:w="8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5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Long-lived assets held for sale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12,932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ind w:left="1460"/>
              <w:spacing w:after="0" w:line="205" w:lineRule="exact"/>
              <w:rPr>
                <w:sz w:val="20"/>
                <w:szCs w:val="20"/>
                <w:color w:val="auto"/>
              </w:rPr>
            </w:pPr>
            <w:r>
              <w:rPr>
                <w:rFonts w:ascii="Times New Roman" w:cs="Times New Roman" w:eastAsia="Times New Roman" w:hAnsi="Times New Roman"/>
                <w:sz w:val="18"/>
                <w:szCs w:val="18"/>
                <w:color w:val="auto"/>
                <w:w w:val="78"/>
              </w:rPr>
              <w:t>−</w:t>
            </w:r>
          </w:p>
        </w:tc>
        <w:tc>
          <w:tcPr>
            <w:tcW w:w="8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jc w:val="both"/>
        <w:ind w:right="480" w:firstLine="634"/>
        <w:spacing w:after="0" w:line="257" w:lineRule="auto"/>
        <w:rPr>
          <w:sz w:val="20"/>
          <w:szCs w:val="20"/>
          <w:color w:val="auto"/>
        </w:rPr>
      </w:pPr>
      <w:r>
        <w:rPr>
          <w:rFonts w:ascii="Times New Roman" w:cs="Times New Roman" w:eastAsia="Times New Roman" w:hAnsi="Times New Roman"/>
          <w:sz w:val="18"/>
          <w:szCs w:val="18"/>
          <w:color w:val="auto"/>
        </w:rPr>
        <w:t>For further discussion of assets held for sale, see Note 10 – Restructuring Costs of the Notes to Consolidated Financial Statements. For the quarter ended March 31, 2016, a loss of $7.1 million was reported in selling, general and administrative expenses in the Consolidated Statements of Income and Comprehensive Income and was reported under the Truck Segment.</w:t>
      </w: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520"/>
          </w:cols>
          <w:pgMar w:left="240" w:top="114" w:right="139" w:bottom="1440" w:gutter="0" w:footer="0" w:header="0"/>
        </w:sectPr>
      </w:pPr>
    </w:p>
    <w:bookmarkStart w:id="9" w:name="page10"/>
    <w:bookmarkEnd w:id="9"/>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17" w:lineRule="exact"/>
        <w:rPr>
          <w:sz w:val="20"/>
          <w:szCs w:val="20"/>
          <w:color w:val="auto"/>
        </w:rPr>
      </w:pPr>
    </w:p>
    <w:p>
      <w:pPr>
        <w:jc w:val="both"/>
        <w:ind w:right="100" w:firstLine="634"/>
        <w:spacing w:after="0" w:line="249"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our dealerships, when making decisions about resources to be allocated to the segment and assessing its performance.</w:t>
      </w:r>
    </w:p>
    <w:p>
      <w:pPr>
        <w:spacing w:after="0" w:line="186" w:lineRule="exact"/>
        <w:rPr>
          <w:sz w:val="20"/>
          <w:szCs w:val="20"/>
          <w:color w:val="auto"/>
        </w:rPr>
      </w:pPr>
    </w:p>
    <w:p>
      <w:pPr>
        <w:jc w:val="both"/>
        <w:ind w:right="100" w:firstLine="634"/>
        <w:spacing w:after="0" w:line="257"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0" w:lineRule="exact"/>
        <w:rPr>
          <w:sz w:val="20"/>
          <w:szCs w:val="20"/>
          <w:color w:val="auto"/>
        </w:rPr>
      </w:pPr>
    </w:p>
    <w:p>
      <w:pPr>
        <w:jc w:val="both"/>
        <w:ind w:right="100" w:firstLine="634"/>
        <w:spacing w:after="0" w:line="270"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21" w:lineRule="exact"/>
        <w:rPr>
          <w:sz w:val="20"/>
          <w:szCs w:val="20"/>
          <w:color w:val="auto"/>
        </w:rPr>
      </w:pPr>
    </w:p>
    <w:p>
      <w:pPr>
        <w:ind w:right="240" w:firstLine="634"/>
        <w:spacing w:after="0" w:line="270"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March 31, 2017 and 2016 (in thousands):</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Truck Segment</w:t>
            </w:r>
          </w:p>
        </w:tc>
        <w:tc>
          <w:tcPr>
            <w:tcW w:w="24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All Other</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Totals</w:t>
            </w:r>
          </w:p>
        </w:tc>
      </w:tr>
      <w:tr>
        <w:trPr>
          <w:trHeight w:val="205"/>
        </w:trPr>
        <w:tc>
          <w:tcPr>
            <w:tcW w:w="5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1,040,853</w:t>
            </w:r>
          </w:p>
        </w:tc>
        <w:tc>
          <w:tcPr>
            <w:tcW w:w="24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1,044,797</w:t>
            </w:r>
          </w:p>
        </w:tc>
        <w:tc>
          <w:tcPr>
            <w:tcW w:w="100" w:type="dxa"/>
            <w:vAlign w:val="bottom"/>
          </w:tcPr>
          <w:p>
            <w:pPr>
              <w:spacing w:after="0"/>
              <w:rPr>
                <w:sz w:val="18"/>
                <w:szCs w:val="18"/>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24,849</w:t>
            </w:r>
          </w:p>
        </w:tc>
      </w:tr>
      <w:tr>
        <w:trPr>
          <w:trHeight w:val="21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22,244</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22,058</w:t>
            </w: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2,639,561</w:t>
            </w:r>
          </w:p>
        </w:tc>
        <w:tc>
          <w:tcPr>
            <w:tcW w:w="100" w:type="dxa"/>
            <w:vAlign w:val="bottom"/>
            <w:shd w:val="clear" w:color="auto" w:fill="CCEEFF"/>
          </w:tcPr>
          <w:p>
            <w:pPr>
              <w:spacing w:after="0"/>
              <w:rPr>
                <w:sz w:val="18"/>
                <w:szCs w:val="18"/>
                <w:color w:val="auto"/>
              </w:rPr>
            </w:pPr>
          </w:p>
        </w:tc>
      </w:tr>
      <w:tr>
        <w:trPr>
          <w:trHeight w:val="211"/>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1,067,290</w:t>
            </w:r>
          </w:p>
        </w:tc>
        <w:tc>
          <w:tcPr>
            <w:tcW w:w="24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1,070,840</w:t>
            </w:r>
          </w:p>
        </w:tc>
        <w:tc>
          <w:tcPr>
            <w:tcW w:w="100" w:type="dxa"/>
            <w:vAlign w:val="bottom"/>
          </w:tcPr>
          <w:p>
            <w:pPr>
              <w:spacing w:after="0"/>
              <w:rPr>
                <w:sz w:val="18"/>
                <w:szCs w:val="18"/>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8,181</w:t>
            </w:r>
          </w:p>
        </w:tc>
      </w:tr>
      <w:tr>
        <w:trPr>
          <w:trHeight w:val="21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3,942</w:t>
            </w: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32,498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2,796,792</w:t>
            </w:r>
          </w:p>
        </w:tc>
        <w:tc>
          <w:tcPr>
            <w:tcW w:w="10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17" w:lineRule="exact"/>
        <w:rPr>
          <w:sz w:val="20"/>
          <w:szCs w:val="20"/>
          <w:color w:val="auto"/>
        </w:rPr>
      </w:pPr>
    </w:p>
    <w:p>
      <w:pPr>
        <w:jc w:val="both"/>
        <w:ind w:right="100" w:firstLine="634"/>
        <w:spacing w:after="0" w:line="251" w:lineRule="auto"/>
        <w:rPr>
          <w:sz w:val="20"/>
          <w:szCs w:val="20"/>
          <w:color w:val="auto"/>
        </w:rPr>
      </w:pPr>
      <w:r>
        <w:rPr>
          <w:rFonts w:ascii="Times New Roman" w:cs="Times New Roman" w:eastAsia="Times New Roman" w:hAnsi="Times New Roman"/>
          <w:sz w:val="18"/>
          <w:szCs w:val="18"/>
          <w:color w:val="auto"/>
        </w:rPr>
        <w:t>The Company had unrecognized income tax benefits totaling $2.4 million as a component of accrued liabilities at March 31, 2017 and December 31, 2016,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$145,000 accrued for the payment of interest at March 31, 2017 and December 31, 2016.</w:t>
      </w:r>
    </w:p>
    <w:p>
      <w:pPr>
        <w:spacing w:after="0" w:line="185" w:lineRule="exact"/>
        <w:rPr>
          <w:sz w:val="20"/>
          <w:szCs w:val="20"/>
          <w:color w:val="auto"/>
        </w:rPr>
      </w:pPr>
    </w:p>
    <w:p>
      <w:pPr>
        <w:jc w:val="both"/>
        <w:ind w:right="100" w:firstLine="634"/>
        <w:spacing w:after="0" w:line="257"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March 31, 2017, the tax years ended December 31, 2013 through 2016 remained subject to audit by federal tax authorities and the tax years ended December 31, 2012 through 2016, remained subject to audit by state tax authorities.</w:t>
      </w:r>
    </w:p>
    <w:p>
      <w:pPr>
        <w:spacing w:after="0" w:line="178" w:lineRule="exact"/>
        <w:rPr>
          <w:sz w:val="20"/>
          <w:szCs w:val="20"/>
          <w:color w:val="auto"/>
        </w:rPr>
      </w:pPr>
    </w:p>
    <w:p>
      <w:pPr>
        <w:jc w:val="both"/>
        <w:ind w:right="100" w:firstLine="634"/>
        <w:spacing w:after="0" w:line="250"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ASU No. 2016-09, “</w:t>
      </w:r>
      <w:r>
        <w:rPr>
          <w:rFonts w:ascii="Times New Roman" w:cs="Times New Roman" w:eastAsia="Times New Roman" w:hAnsi="Times New Roman"/>
          <w:sz w:val="18"/>
          <w:szCs w:val="18"/>
          <w:i w:val="1"/>
          <w:iCs w:val="1"/>
          <w:color w:val="auto"/>
        </w:rPr>
        <w:t>Compensation – Stock Compensation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718),</w:t>
      </w:r>
      <w:r>
        <w:rPr>
          <w:rFonts w:ascii="Times New Roman" w:cs="Times New Roman" w:eastAsia="Times New Roman" w:hAnsi="Times New Roman"/>
          <w:sz w:val="18"/>
          <w:szCs w:val="18"/>
          <w:color w:val="auto"/>
        </w:rPr>
        <w:t>” which changed the accounting for certain aspects of share-based payments to employees. The Company adopted the new standard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The new guidance requires excess tax benefits and tax deficiencies to be recognized as income tax benefit or expense in the income statement and presented as an operating activity in the statement of cash flows when the awards are vested or are settled. The Company recorded excess tax benefits of $1.1 million in the first quarter of 2017, which was recorded as a reduction to income tax expense in the Consolidated Statement of Income and Comprehensive Income.</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160"/>
          </w:cols>
          <w:pgMar w:left="240" w:top="114" w:right="499" w:bottom="1440" w:gutter="0" w:footer="0" w:header="0"/>
        </w:sectPr>
      </w:pPr>
    </w:p>
    <w:bookmarkStart w:id="10" w:name="page11"/>
    <w:bookmarkEnd w:id="10"/>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Accumulated Other Comprehensive Income (Loss)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net of tax, (in thousands):</w:t>
      </w:r>
    </w:p>
    <w:p>
      <w:pPr>
        <w:spacing w:after="0" w:line="215"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color w:val="auto"/>
        </w:rPr>
        <w:t>Available</w:t>
      </w:r>
    </w:p>
    <w:p>
      <w:pPr>
        <w:spacing w:after="0" w:line="45"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color w:val="auto"/>
        </w:rPr>
        <w:t>for Sale</w:t>
      </w:r>
    </w:p>
    <w:p>
      <w:pPr>
        <w:spacing w:after="0" w:line="4"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color w:val="auto"/>
        </w:rPr>
        <w:t>Securities</w:t>
      </w:r>
    </w:p>
    <w:p>
      <w:pPr>
        <w:sectPr>
          <w:pgSz w:w="11900" w:h="16838" w:orient="portrait"/>
          <w:cols w:equalWidth="0" w:num="1">
            <w:col w:w="11060"/>
          </w:cols>
          <w:pgMar w:left="240" w:top="114" w:right="599" w:bottom="1440" w:gutter="0" w:footer="0" w:header="0"/>
        </w:sectPr>
      </w:pP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Balance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-107315</wp:posOffset>
            </wp:positionV>
            <wp:extent cx="5799455" cy="133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9455" cy="13398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-130175</wp:posOffset>
            </wp:positionV>
            <wp:extent cx="5799455" cy="142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9455" cy="142240"/>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240" w:hanging="1236"/>
        <w:spacing w:after="0"/>
        <w:tabs>
          <w:tab w:leader="none" w:pos="1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(286)</w:t>
      </w:r>
    </w:p>
    <w:p>
      <w:pPr>
        <w:spacing w:after="0" w:line="40" w:lineRule="exact"/>
        <w:rPr>
          <w:rFonts w:ascii="Times New Roman" w:cs="Times New Roman" w:eastAsia="Times New Roman" w:hAnsi="Times New Roman"/>
          <w:sz w:val="16"/>
          <w:szCs w:val="16"/>
          <w:color w:val="auto"/>
        </w:rPr>
      </w:pPr>
    </w:p>
    <w:p>
      <w:pPr>
        <w:ind w:left="1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6"/>
          <w:szCs w:val="16"/>
          <w:color w:val="auto"/>
        </w:rPr>
      </w:pPr>
    </w:p>
    <w:p>
      <w:pPr>
        <w:ind w:left="1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-407035</wp:posOffset>
            </wp:positionV>
            <wp:extent cx="988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ind w:left="1240" w:hanging="1236"/>
        <w:spacing w:after="0"/>
        <w:tabs>
          <w:tab w:leader="none" w:pos="1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988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86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988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3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Available</w:t>
      </w:r>
    </w:p>
    <w:p>
      <w:pPr>
        <w:spacing w:after="0" w:line="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for Sale</w:t>
      </w:r>
    </w:p>
    <w:p>
      <w:pPr>
        <w:spacing w:after="0" w:line="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Securities</w:t>
      </w:r>
    </w:p>
    <w:p>
      <w:pPr>
        <w:spacing w:after="0" w:line="24" w:lineRule="exact"/>
        <w:rPr>
          <w:sz w:val="20"/>
          <w:szCs w:val="20"/>
          <w:color w:val="auto"/>
        </w:rPr>
      </w:pPr>
    </w:p>
    <w:p>
      <w:pPr>
        <w:sectPr>
          <w:pgSz w:w="11900" w:h="16838" w:orient="portrait"/>
          <w:cols w:equalWidth="0" w:num="2">
            <w:col w:w="7920" w:space="720"/>
            <w:col w:w="2420"/>
          </w:cols>
          <w:pgMar w:left="240" w:top="114" w:right="59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5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Balance as of December 31, 2015</w:t>
            </w:r>
          </w:p>
        </w:tc>
        <w:tc>
          <w:tcPr>
            <w:tcW w:w="66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rPr>
              <w:t>(305)</w:t>
            </w:r>
          </w:p>
        </w:tc>
      </w:tr>
      <w:tr>
        <w:trPr>
          <w:trHeight w:val="211"/>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4"/>
        </w:trPr>
        <w:tc>
          <w:tcPr>
            <w:tcW w:w="75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Balance at March 31, 2016</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(305)</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Restructuring Costs</w:t>
      </w:r>
    </w:p>
    <w:p>
      <w:pPr>
        <w:spacing w:after="0" w:line="217"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During the quarter ended March 31, 2016, the Company instituted plans to consolidate its dealership network and incurred pre-tax expense of approximately $8.1 million related to restructuring activities. The restructuring costs included $2.7 million associated with impairment charges to certain fixed assets and the value of the real estate underlying the affected locations, which was reported in selling, general and administrative expenses in the Consolidated Statements of Income and Comprehensive Income.</w:t>
      </w:r>
    </w:p>
    <w:p>
      <w:pPr>
        <w:spacing w:after="0" w:line="183"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In addition, the Company classified certain excess real estate as held for sale, which resulted in an impairment charge of $5.0 million, which was reported in selling, general and administrative expenses in the Consolidated Statements of Income and Comprehensive Income for the quarter ended March 31, 2016.</w:t>
      </w:r>
    </w:p>
    <w:p>
      <w:pPr>
        <w:spacing w:after="0" w:line="180" w:lineRule="exact"/>
        <w:rPr>
          <w:sz w:val="20"/>
          <w:szCs w:val="20"/>
          <w:color w:val="auto"/>
        </w:rPr>
      </w:pPr>
    </w:p>
    <w:p>
      <w:pPr>
        <w:jc w:val="both"/>
        <w:ind w:firstLine="634"/>
        <w:spacing w:after="0" w:line="304" w:lineRule="auto"/>
        <w:rPr>
          <w:sz w:val="20"/>
          <w:szCs w:val="20"/>
          <w:color w:val="auto"/>
        </w:rPr>
      </w:pPr>
      <w:r>
        <w:rPr>
          <w:rFonts w:ascii="Times New Roman" w:cs="Times New Roman" w:eastAsia="Times New Roman" w:hAnsi="Times New Roman"/>
          <w:sz w:val="16"/>
          <w:szCs w:val="16"/>
          <w:color w:val="auto"/>
        </w:rPr>
        <w:t>During the third and fourth quarter of 2016, the Company sold four of the properties previously classified as held for sale with a fair value of $6.1 million, and during the first quarter of 2017, the Company sold one of the properties with a fair value of $1.0 million. As of March 31, 2017, the remaining real estate associated with the restructuring activities and the excess real estate is included in assets held for sale on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New Accounting Pronouncements</w:t>
      </w:r>
    </w:p>
    <w:p>
      <w:pPr>
        <w:spacing w:after="0" w:line="217"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In March 2016, the FASB issued ASU No. 2016-09 which changed the accounting for certain aspects of share-based payments to employees. The Company adopted the new standard on January 1, 2017. The new guidance requires excess tax benefits and tax deficiencies to be recorded in the income statement when the awards vest or are settled. The Company recorded excess tax benefits of $1.1 million in the first quarter of 2017, which was recorded in the Consolidated Statements of Income and Comprehensive Income.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Company did not elect to make an accounting policy change to recognize forfeitures as they occur and will continue to estimate forfeitures. The Company adopted the amendments related to ASU 2016-09 prospectively and prior periods have not been adjusted.</w:t>
      </w:r>
    </w:p>
    <w:p>
      <w:pPr>
        <w:spacing w:after="0" w:line="185"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is currently evaluating the effect that adopting this standard will have on our financial statements and related disclosures.</w:t>
      </w:r>
    </w:p>
    <w:p>
      <w:pPr>
        <w:spacing w:after="0" w:line="200" w:lineRule="exact"/>
        <w:rPr>
          <w:sz w:val="20"/>
          <w:szCs w:val="20"/>
          <w:color w:val="auto"/>
        </w:rPr>
      </w:pPr>
    </w:p>
    <w:p>
      <w:pPr>
        <w:spacing w:after="0" w:line="2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60"/>
          </w:cols>
          <w:pgMar w:left="240" w:top="114" w:right="599" w:bottom="1440" w:gutter="0" w:footer="0" w:header="0"/>
          <w:type w:val="continuous"/>
        </w:sectPr>
      </w:pPr>
    </w:p>
    <w:bookmarkStart w:id="11" w:name="page12"/>
    <w:bookmarkEnd w:id="11"/>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amended the accounting standards for revenue recognition. ASU 2014-09 is based on principles that govern the recognition of revenue at an amount an entity expects to be entitled to when products are transferred to customers. ASU 2014-09 will be effective for the Company beginning in its first quarter of 2018, and early adoption is permitted. The ASU provides two transition methods: (i) retrospectively to each prior reporting period presented; or (ii) retrospectively with the cumulative effect of initially applying this ASU recognized at the date of initial application.</w:t>
      </w:r>
    </w:p>
    <w:p>
      <w:pPr>
        <w:spacing w:after="0" w:line="185" w:lineRule="exact"/>
        <w:rPr>
          <w:sz w:val="20"/>
          <w:szCs w:val="20"/>
          <w:color w:val="auto"/>
        </w:rPr>
      </w:pPr>
    </w:p>
    <w:p>
      <w:pPr>
        <w:jc w:val="both"/>
        <w:ind w:firstLine="634"/>
        <w:spacing w:after="0" w:line="254" w:lineRule="auto"/>
        <w:rPr>
          <w:sz w:val="20"/>
          <w:szCs w:val="20"/>
          <w:color w:val="auto"/>
        </w:rPr>
      </w:pPr>
      <w:r>
        <w:rPr>
          <w:rFonts w:ascii="Times New Roman" w:cs="Times New Roman" w:eastAsia="Times New Roman" w:hAnsi="Times New Roman"/>
          <w:sz w:val="18"/>
          <w:szCs w:val="18"/>
          <w:color w:val="auto"/>
        </w:rPr>
        <w:t>Subsequently, the FASB issued the following standards related to ASU 2014-09: ASU No. 2016-08,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 Principal versus Agent Considerations”</w:t>
      </w:r>
      <w:r>
        <w:rPr>
          <w:rFonts w:ascii="Times New Roman" w:cs="Times New Roman" w:eastAsia="Times New Roman" w:hAnsi="Times New Roman"/>
          <w:sz w:val="18"/>
          <w:szCs w:val="18"/>
          <w:color w:val="auto"/>
        </w:rPr>
        <w:t>; ASU No. 2016-10, “</w:t>
      </w:r>
      <w:r>
        <w:rPr>
          <w:rFonts w:ascii="Times New Roman" w:cs="Times New Roman" w:eastAsia="Times New Roman" w:hAnsi="Times New Roman"/>
          <w:sz w:val="18"/>
          <w:szCs w:val="18"/>
          <w:i w:val="1"/>
          <w:iCs w:val="1"/>
          <w:color w:val="auto"/>
        </w:rPr>
        <w:t>Revenue from Contracts with Customers (Topic 606): Identifying Performance Obligations and Licensing</w:t>
      </w:r>
      <w:r>
        <w:rPr>
          <w:rFonts w:ascii="Times New Roman" w:cs="Times New Roman" w:eastAsia="Times New Roman" w:hAnsi="Times New Roman"/>
          <w:sz w:val="18"/>
          <w:szCs w:val="18"/>
          <w:color w:val="auto"/>
        </w:rPr>
        <w:t>”; and ASU No. 2016-12, “</w:t>
      </w:r>
      <w:r>
        <w:rPr>
          <w:rFonts w:ascii="Times New Roman" w:cs="Times New Roman" w:eastAsia="Times New Roman" w:hAnsi="Times New Roman"/>
          <w:sz w:val="18"/>
          <w:szCs w:val="18"/>
          <w:i w:val="1"/>
          <w:iCs w:val="1"/>
          <w:color w:val="auto"/>
        </w:rPr>
        <w:t>Revenue from Contracts with Customers (Topic 606): Narrow-Scope Improvements and Practical Expedients.”</w:t>
      </w:r>
    </w:p>
    <w:p>
      <w:pPr>
        <w:spacing w:after="0" w:line="182"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The Company will adopt ASU 2014-09 on January 1, 2018. In 2016, the Company established a cross-functional team with representatives from its major revenue streams to review our current accounting policies and practices, assess the effect of the standard on our revenue contracts and identify potential differences. In addition, the Company is in the process of evaluating changes to its business processes and controls to support revenue recognition and disclosure under the new standard. While the Company is currently assessing the impact of the new standard, its revenues are primarily generated from the sale of finished products to customers. Those sales predominantly contain a single delivery element and revenue for such sales is recognized at a single point in time when ownership, risks and benefits transfer to the purchaser. The timing of revenue recognition for these transactions is not expected to be significantly impacted by the new standard. The Company continues to review the impact of this standard on potential disclosure changes in its financial statements, as well as which transition approach will be applied.</w:t>
      </w: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60"/>
          </w:cols>
          <w:pgMar w:left="240" w:top="114" w:right="599" w:bottom="1440" w:gutter="0" w:footer="0" w:header="0"/>
        </w:sectPr>
      </w:pPr>
    </w:p>
    <w:bookmarkStart w:id="12" w:name="page13"/>
    <w:bookmarkEnd w:id="12"/>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5" w:lineRule="exact"/>
        <w:rPr>
          <w:sz w:val="20"/>
          <w:szCs w:val="20"/>
          <w:color w:val="auto"/>
        </w:rPr>
      </w:pPr>
    </w:p>
    <w:p>
      <w:pPr>
        <w:jc w:val="both"/>
        <w:ind w:right="100" w:firstLine="634"/>
        <w:spacing w:after="0" w:line="246"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2016,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ind w:right="100" w:firstLine="634"/>
        <w:spacing w:after="0" w:line="270"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193" w:lineRule="exact"/>
        <w:rPr>
          <w:sz w:val="20"/>
          <w:szCs w:val="20"/>
          <w:color w:val="auto"/>
        </w:rPr>
      </w:pPr>
    </w:p>
    <w:p>
      <w:pPr>
        <w:jc w:val="both"/>
        <w:ind w:firstLine="634"/>
        <w:spacing w:after="0" w:line="190" w:lineRule="auto"/>
        <w:rPr>
          <w:sz w:val="20"/>
          <w:szCs w:val="20"/>
          <w:color w:val="auto"/>
        </w:rPr>
      </w:pPr>
      <w:r>
        <w:rPr>
          <w:rFonts w:ascii="Times New Roman" w:cs="Times New Roman" w:eastAsia="Times New Roman" w:hAnsi="Times New Roman"/>
          <w:sz w:val="17"/>
          <w:szCs w:val="17"/>
          <w:i w:val="1"/>
          <w:iCs w:val="1"/>
          <w:color w:val="auto"/>
        </w:rPr>
        <w:t>Peterbilt</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Peterbilt Motors Company. PACCAR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Inc. PacLease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Leasing Corporation. Navistar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Corporation. International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Blue Bird Investment Corporation. IC Bus</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IC Bus, LLC. Fuso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Mitsubishi Fuso Truck and Bus Corporation. Hino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Hino Motors, Ltd. Isuzu</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Isuzu Motors Limited. Ford Motor Credit Company</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Ford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SAP</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SAP Aktiengesellschaft. IBM</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7" w:lineRule="exact"/>
        <w:rPr>
          <w:sz w:val="20"/>
          <w:szCs w:val="20"/>
          <w:color w:val="auto"/>
        </w:rPr>
      </w:pPr>
    </w:p>
    <w:p>
      <w:pPr>
        <w:jc w:val="both"/>
        <w:ind w:right="60" w:firstLine="634"/>
        <w:spacing w:after="0" w:line="270"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68" w:lineRule="exact"/>
        <w:rPr>
          <w:sz w:val="20"/>
          <w:szCs w:val="20"/>
          <w:color w:val="auto"/>
        </w:rPr>
      </w:pPr>
    </w:p>
    <w:p>
      <w:pPr>
        <w:jc w:val="both"/>
        <w:ind w:right="80" w:firstLine="634"/>
        <w:spacing w:after="0" w:line="251"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the Company’s operation of a nationwide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5" w:lineRule="exact"/>
        <w:rPr>
          <w:sz w:val="20"/>
          <w:szCs w:val="20"/>
          <w:color w:val="auto"/>
        </w:rPr>
      </w:pPr>
    </w:p>
    <w:p>
      <w:pPr>
        <w:jc w:val="both"/>
        <w:ind w:right="60" w:firstLine="634"/>
        <w:spacing w:after="0" w:line="270"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bookmarkStart w:id="13" w:name="page14"/>
    <w:bookmarkEnd w:id="13"/>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nationwide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7" w:lineRule="exact"/>
        <w:rPr>
          <w:sz w:val="20"/>
          <w:szCs w:val="20"/>
          <w:color w:val="auto"/>
        </w:rPr>
      </w:pPr>
    </w:p>
    <w:p>
      <w:pPr>
        <w:jc w:val="both"/>
        <w:ind w:firstLine="634"/>
        <w:spacing w:after="0" w:line="290"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19" w:lineRule="exact"/>
        <w:rPr>
          <w:sz w:val="20"/>
          <w:szCs w:val="20"/>
          <w:color w:val="auto"/>
        </w:rPr>
      </w:pPr>
    </w:p>
    <w:p>
      <w:pPr>
        <w:jc w:val="both"/>
        <w:ind w:right="20" w:firstLine="634"/>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determined by specific identification of new and used commercial vehicles inventory and by the first-in, first-out method for tires, parts and accessories. As the net realizable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19" w:lineRule="exact"/>
        <w:rPr>
          <w:sz w:val="20"/>
          <w:szCs w:val="20"/>
          <w:color w:val="auto"/>
        </w:rPr>
      </w:pPr>
    </w:p>
    <w:p>
      <w:pPr>
        <w:jc w:val="both"/>
        <w:ind w:right="20" w:firstLine="634"/>
        <w:spacing w:after="0" w:line="249"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6" w:lineRule="exact"/>
        <w:rPr>
          <w:sz w:val="20"/>
          <w:szCs w:val="20"/>
          <w:color w:val="auto"/>
        </w:rPr>
      </w:pPr>
    </w:p>
    <w:p>
      <w:pPr>
        <w:jc w:val="both"/>
        <w:ind w:right="20" w:firstLine="634"/>
        <w:spacing w:after="0" w:line="249"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6" w:lineRule="exact"/>
        <w:rPr>
          <w:sz w:val="20"/>
          <w:szCs w:val="20"/>
          <w:color w:val="auto"/>
        </w:rPr>
      </w:pPr>
    </w:p>
    <w:p>
      <w:pPr>
        <w:jc w:val="both"/>
        <w:ind w:right="20" w:firstLine="634"/>
        <w:spacing w:after="0" w:line="294" w:lineRule="auto"/>
        <w:rPr>
          <w:sz w:val="20"/>
          <w:szCs w:val="20"/>
          <w:color w:val="auto"/>
        </w:rPr>
      </w:pPr>
      <w:r>
        <w:rPr>
          <w:rFonts w:ascii="Times New Roman" w:cs="Times New Roman" w:eastAsia="Times New Roman" w:hAnsi="Times New Roman"/>
          <w:sz w:val="16"/>
          <w:szCs w:val="16"/>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54"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2016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4" w:name="page15"/>
    <w:bookmarkEnd w:id="14"/>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19"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5" w:lineRule="exact"/>
        <w:rPr>
          <w:sz w:val="20"/>
          <w:szCs w:val="20"/>
          <w:color w:val="auto"/>
        </w:rPr>
      </w:pPr>
    </w:p>
    <w:p>
      <w:pPr>
        <w:jc w:val="both"/>
        <w:ind w:right="20" w:firstLine="634"/>
        <w:spacing w:after="0" w:line="253"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19"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90"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3" w:lineRule="exact"/>
        <w:rPr>
          <w:sz w:val="20"/>
          <w:szCs w:val="20"/>
          <w:color w:val="auto"/>
        </w:rPr>
      </w:pPr>
    </w:p>
    <w:p>
      <w:pPr>
        <w:jc w:val="both"/>
        <w:ind w:firstLine="634"/>
        <w:spacing w:after="0" w:line="287" w:lineRule="auto"/>
        <w:rPr>
          <w:sz w:val="20"/>
          <w:szCs w:val="20"/>
          <w:color w:val="auto"/>
        </w:rPr>
      </w:pPr>
      <w:r>
        <w:rPr>
          <w:rFonts w:ascii="Times New Roman" w:cs="Times New Roman" w:eastAsia="Times New Roman" w:hAnsi="Times New Roman"/>
          <w:sz w:val="16"/>
          <w:szCs w:val="16"/>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5" w:name="page16"/>
    <w:bookmarkEnd w:id="15"/>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ended March 31, 2017 and 2016.</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w:t>
      </w:r>
    </w:p>
    <w:p>
      <w:pPr>
        <w:spacing w:after="0" w:line="21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4"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20" w:type="dxa"/>
            <w:vAlign w:val="bottom"/>
            <w:gridSpan w:val="2"/>
          </w:tcPr>
          <w:p>
            <w:pPr>
              <w:spacing w:after="0"/>
              <w:rPr>
                <w:sz w:val="17"/>
                <w:szCs w:val="17"/>
                <w:color w:val="auto"/>
              </w:rPr>
            </w:pPr>
          </w:p>
        </w:tc>
        <w:tc>
          <w:tcPr>
            <w:tcW w:w="1040" w:type="dxa"/>
            <w:vAlign w:val="bottom"/>
            <w:tcBorders>
              <w:top w:val="single" w:sz="8" w:color="auto"/>
              <w:bottom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6700" w:type="dxa"/>
            <w:vAlign w:val="bottom"/>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56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spacing w:after="0"/>
              <w:rPr>
                <w:sz w:val="17"/>
                <w:szCs w:val="17"/>
                <w:color w:val="auto"/>
              </w:rPr>
            </w:pPr>
          </w:p>
        </w:tc>
        <w:tc>
          <w:tcPr>
            <w:tcW w:w="740" w:type="dxa"/>
            <w:vAlign w:val="bottom"/>
            <w:gridSpan w:val="2"/>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1.4%</w:t>
            </w:r>
          </w:p>
        </w:tc>
        <w:tc>
          <w:tcPr>
            <w:tcW w:w="1020" w:type="dxa"/>
            <w:vAlign w:val="bottom"/>
          </w:tcPr>
          <w:p>
            <w:pPr>
              <w:spacing w:after="0"/>
              <w:rPr>
                <w:sz w:val="17"/>
                <w:szCs w:val="17"/>
                <w:color w:val="auto"/>
              </w:rPr>
            </w:pPr>
          </w:p>
        </w:tc>
        <w:tc>
          <w:tcPr>
            <w:tcW w:w="66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0.2%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8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20" w:type="dxa"/>
            <w:vAlign w:val="bottom"/>
            <w:gridSpan w:val="2"/>
          </w:tcPr>
          <w:p>
            <w:pPr>
              <w:spacing w:after="0"/>
              <w:rPr>
                <w:sz w:val="17"/>
                <w:szCs w:val="17"/>
                <w:color w:val="auto"/>
              </w:rPr>
            </w:pPr>
          </w:p>
        </w:tc>
        <w:tc>
          <w:tcPr>
            <w:tcW w:w="104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rPr>
              <w:t>2017</w:t>
            </w:r>
          </w:p>
        </w:tc>
        <w:tc>
          <w:tcPr>
            <w:tcW w:w="17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56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56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gross profit</w:t>
            </w:r>
          </w:p>
        </w:tc>
        <w:tc>
          <w:tcPr>
            <w:tcW w:w="10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5"/>
        </w:trPr>
        <w:tc>
          <w:tcPr>
            <w:tcW w:w="1160" w:type="dxa"/>
            <w:vAlign w:val="bottom"/>
          </w:tcPr>
          <w:p>
            <w:pPr>
              <w:spacing w:after="0"/>
              <w:rPr>
                <w:sz w:val="24"/>
                <w:szCs w:val="24"/>
                <w:color w:val="auto"/>
              </w:rPr>
            </w:pPr>
          </w:p>
        </w:tc>
        <w:tc>
          <w:tcPr>
            <w:tcW w:w="5660" w:type="dxa"/>
            <w:vAlign w:val="bottom"/>
            <w:tcBorders>
              <w:top w:val="single" w:sz="8" w:color="CCEEFF"/>
            </w:tcBorders>
          </w:tcPr>
          <w:p>
            <w:pPr>
              <w:ind w:left="446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160" w:type="dxa"/>
            <w:vAlign w:val="bottom"/>
            <w:tcBorders>
              <w:bottom w:val="single" w:sz="8" w:color="808080"/>
            </w:tcBorders>
          </w:tcPr>
          <w:p>
            <w:pPr>
              <w:spacing w:after="0"/>
              <w:rPr>
                <w:sz w:val="12"/>
                <w:szCs w:val="12"/>
                <w:color w:val="auto"/>
              </w:rPr>
            </w:pPr>
          </w:p>
        </w:tc>
        <w:tc>
          <w:tcPr>
            <w:tcW w:w="5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16" w:name="page17"/>
    <w:bookmarkEnd w:id="16"/>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right="80" w:firstLine="634"/>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0" w:type="dxa"/>
            <w:vAlign w:val="bottom"/>
            <w:gridSpan w:val="5"/>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vMerge w:val="restart"/>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9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Vehicle unit sales:</w:t>
            </w:r>
          </w:p>
        </w:tc>
        <w:tc>
          <w:tcPr>
            <w:tcW w:w="9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8"/>
                <w:szCs w:val="18"/>
                <w:color w:val="auto"/>
              </w:rPr>
              <w:t>Total new vehicle unit sales</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5,606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6,337</w:t>
            </w: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192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00" w:type="dxa"/>
            <w:vAlign w:val="bottom"/>
          </w:tcPr>
          <w:p>
            <w:pPr>
              <w:spacing w:after="0"/>
              <w:rPr>
                <w:sz w:val="18"/>
                <w:szCs w:val="18"/>
                <w:color w:val="auto"/>
              </w:rPr>
            </w:pPr>
          </w:p>
        </w:tc>
        <w:tc>
          <w:tcPr>
            <w:tcW w:w="1080" w:type="dxa"/>
            <w:vAlign w:val="bottom"/>
            <w:gridSpan w:val="2"/>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8"/>
                <w:szCs w:val="18"/>
                <w:color w:val="auto"/>
              </w:rPr>
              <w:t>Total new vehicle revenue</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564.3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588.9</w:t>
            </w: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192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Other vehicle revenues:</w:t>
            </w:r>
            <w:r>
              <w:rPr>
                <w:rFonts w:ascii="Times New Roman" w:cs="Times New Roman" w:eastAsia="Times New Roman" w:hAnsi="Times New Roman"/>
                <w:sz w:val="24"/>
                <w:szCs w:val="24"/>
                <w:color w:val="auto"/>
                <w:vertAlign w:val="superscript"/>
              </w:rPr>
              <w:t>(1)</w:t>
            </w:r>
          </w:p>
        </w:tc>
        <w:tc>
          <w:tcPr>
            <w:tcW w:w="192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ind w:left="11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17" w:lineRule="exact"/>
        <w:rPr>
          <w:sz w:val="20"/>
          <w:szCs w:val="20"/>
          <w:color w:val="auto"/>
        </w:rPr>
      </w:pPr>
    </w:p>
    <w:p>
      <w:pPr>
        <w:jc w:val="both"/>
        <w:ind w:right="20" w:firstLine="634"/>
        <w:spacing w:after="0" w:line="249"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113.4% absorption ratio for the first quarter of 2017 and 106.4% absorption ratio for the first quarter of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 Compared to Three Months Ended March 31, 2016</w:t>
      </w:r>
    </w:p>
    <w:p>
      <w:pPr>
        <w:spacing w:after="0" w:line="217" w:lineRule="exact"/>
        <w:rPr>
          <w:sz w:val="20"/>
          <w:szCs w:val="20"/>
          <w:color w:val="auto"/>
        </w:rPr>
      </w:pPr>
    </w:p>
    <w:p>
      <w:pPr>
        <w:jc w:val="both"/>
        <w:ind w:right="20" w:firstLine="634"/>
        <w:spacing w:after="0" w:line="251" w:lineRule="auto"/>
        <w:rPr>
          <w:sz w:val="20"/>
          <w:szCs w:val="20"/>
          <w:color w:val="auto"/>
        </w:rPr>
      </w:pPr>
      <w:r>
        <w:rPr>
          <w:rFonts w:ascii="Times New Roman" w:cs="Times New Roman" w:eastAsia="Times New Roman" w:hAnsi="Times New Roman"/>
          <w:sz w:val="18"/>
          <w:szCs w:val="18"/>
          <w:color w:val="auto"/>
        </w:rPr>
        <w:t>Aftermarket services revenues remained stable during the first quarter of 2017 as compared to the first quarter of 2016. Over-the-road fleet sales remained challenging, as they did throughout 2016, but we experienced a moderate increase in stock truck sales in the first quarter, particularly to vocational customers. Due to the timing of several large fleet deliveries in the first quarter of 2016, we showed a decline in our medium-duty commercial vehicle sales this quarter, but we expect to remain on pace with the market throughout the remainder of 2017. Used truck inventories nationwide remain higher than normal, resulting in continued depressed used truck values.</w:t>
      </w:r>
    </w:p>
    <w:p>
      <w:pPr>
        <w:spacing w:after="0" w:line="185" w:lineRule="exact"/>
        <w:rPr>
          <w:sz w:val="20"/>
          <w:szCs w:val="20"/>
          <w:color w:val="auto"/>
        </w:rPr>
      </w:pPr>
    </w:p>
    <w:p>
      <w:pPr>
        <w:jc w:val="both"/>
        <w:ind w:right="20" w:firstLine="634"/>
        <w:spacing w:after="0" w:line="270" w:lineRule="auto"/>
        <w:rPr>
          <w:sz w:val="20"/>
          <w:szCs w:val="20"/>
          <w:color w:val="auto"/>
        </w:rPr>
      </w:pPr>
      <w:r>
        <w:rPr>
          <w:rFonts w:ascii="Times New Roman" w:cs="Times New Roman" w:eastAsia="Times New Roman" w:hAnsi="Times New Roman"/>
          <w:sz w:val="18"/>
          <w:szCs w:val="18"/>
          <w:color w:val="auto"/>
        </w:rPr>
        <w:t>During the first quarter, we expanded our service and sales capacity with the opening of new Peterbilt dealerships in Farmington, New Mexico and College Station, Texas.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revenues decreased $26.0 million, or 2.4%, in the first quarter of 2017, compared to the first quarter of 2016.</w:t>
      </w:r>
    </w:p>
    <w:p>
      <w:pPr>
        <w:spacing w:after="0" w:line="215"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Our Aftermarket Services revenues increased $8.2 million, or 2.4%, in the first quarter of 2017, compared to the first quarter of 2016. We expect our Aftermarket Services revenues to increase slightly during 2017 compared to 2016.</w:t>
      </w: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7" w:name="page18"/>
    <w:bookmarkEnd w:id="17"/>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both"/>
        <w:ind w:right="20" w:firstLine="634"/>
        <w:spacing w:after="0" w:line="270"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$32.6 million, or 4.9%, in the first quarter of 2017, compared to the first quarter of 2016, primarily as a result of the factors described above.</w:t>
      </w:r>
    </w:p>
    <w:p>
      <w:pPr>
        <w:spacing w:after="0" w:line="168"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We sold 2,706 Class 8 heavy-duty trucks in the first quarter of 2017, a 1.0% increase compared to 2,679 Class 8 heavy-duty trucks in the first quarter of 2016. According to A.C.T. Research Co., LLC (“A.C.T. Research”), a truck industry data and forecasting service provider, the U.S. Class 8 truck market decreased 28.5% in the first quarter of 2017 compared to the first quarter of 2016. A.C.T. Research currently forecasts U.S. retail sales of Class 8 trucks of approximately 168,000 units in 2017, 199,000 units in 2018, and 225,000 units in 2019, compared to approximately 197,000 units in 2016. Our share of the U.S. Class 8 truck sales market was approximately 5.5% in 2016. We expect our U.S. Class 8 truck sales market share to range between 6.0% and 7.0% in 2017. This market share percentage would result in the sale of approximately 10,000 to 11,750 of Class 8 trucks in 2017 based on A.C.T. Research’s current U.S. retail sales estimate of 168,000 units.</w:t>
      </w:r>
    </w:p>
    <w:p>
      <w:pPr>
        <w:spacing w:after="0" w:line="186"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We sold 2,553 Class 4 through 7 commercial vehicles, including 159 buses, in the first quarter of 2017, a 22.0% decrease compared to 3,271 medium-duty commercial vehicles, including 198 buses, in the first quarter of 2016. A.C.T. Research estimates that unit sales of Class 4 through 7 commercial vehicles in the U.S. decreased approximately 2.3% in the first quarter of 2017, compared to the first quarter of 2016. A.C.T. Research currently forecasts U.S. retail sales of Class 4 through 7 medium-duty commercial vehicles of approximately 233,800 units in 2017, 237,800 units in 2018, and 245,350 in 2019. In 2016, we achieved a 4.9% share of the Class 4 through 7 market in the U.S. We expect our market share to range between 4.9% and 5.5% of the U.S. Class 4 through 7 commercial vehicle sales in 2017. This market share percentage would result in the sale of approximately 11,400 to 12,800 of Class 4 through 7 commercial vehicles in 2017 based on A.C.T. Research’s current U.S. retail sales estimates of 233,800 units.</w:t>
      </w:r>
    </w:p>
    <w:p>
      <w:pPr>
        <w:spacing w:after="0" w:line="186" w:lineRule="exact"/>
        <w:rPr>
          <w:sz w:val="20"/>
          <w:szCs w:val="20"/>
          <w:color w:val="auto"/>
        </w:rPr>
      </w:pPr>
    </w:p>
    <w:p>
      <w:pPr>
        <w:jc w:val="both"/>
        <w:ind w:right="20" w:firstLine="634"/>
        <w:spacing w:after="0" w:line="270" w:lineRule="auto"/>
        <w:rPr>
          <w:sz w:val="20"/>
          <w:szCs w:val="20"/>
          <w:color w:val="auto"/>
        </w:rPr>
      </w:pPr>
      <w:r>
        <w:rPr>
          <w:rFonts w:ascii="Times New Roman" w:cs="Times New Roman" w:eastAsia="Times New Roman" w:hAnsi="Times New Roman"/>
          <w:sz w:val="18"/>
          <w:szCs w:val="18"/>
          <w:color w:val="auto"/>
        </w:rPr>
        <w:t>We sold 347 light-duty vehicles in the first quarter of 2017, a 10.3% decrease compared to 387 light-duty vehicles in the first quarter of 2016. We expect to sell approximately 1,700 light-duty vehicles in 2017.</w:t>
      </w:r>
    </w:p>
    <w:p>
      <w:pPr>
        <w:spacing w:after="0" w:line="168"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We sold 1,711 used commercial vehicles in the first quarter of 2017, a 1.4% decrease compared to 1,735 used commercial vehicles in the first quarter of 2016. We expect to sell approximately 6,200 to 7,000 used commercial vehicles in 2017.</w:t>
      </w:r>
    </w:p>
    <w:p>
      <w:pPr>
        <w:spacing w:after="0" w:line="168"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Commercial vehicle lease and rental revenues increased $0.4 million, or 0.7%, in the first quarter of 2017, compared to the first quarter of 2016. We expect lease and rental revenues to increase 5.0% to 8.0% during 2017, compared to 2016.</w:t>
      </w:r>
    </w:p>
    <w:p>
      <w:pPr>
        <w:spacing w:after="0" w:line="168"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Finance and insurance revenues decreased $0.6 million, or 12.7%, in the first quarter of 2017, compared to the first quarter of 2016. We expect finance and insurance revenues to fluctuate proportionately with our new and used commercial vehicle sales in 2017. Finance and insurance revenues have limited direct costs and, therefore, contribute a disproportionate share of our operating profits.</w:t>
      </w:r>
    </w:p>
    <w:p>
      <w:pPr>
        <w:spacing w:after="0" w:line="180" w:lineRule="exact"/>
        <w:rPr>
          <w:sz w:val="20"/>
          <w:szCs w:val="20"/>
          <w:color w:val="auto"/>
        </w:rPr>
      </w:pPr>
    </w:p>
    <w:p>
      <w:pPr>
        <w:jc w:val="both"/>
        <w:ind w:right="20" w:firstLine="634"/>
        <w:spacing w:after="0" w:line="304" w:lineRule="auto"/>
        <w:rPr>
          <w:sz w:val="20"/>
          <w:szCs w:val="20"/>
          <w:color w:val="auto"/>
        </w:rPr>
      </w:pPr>
      <w:r>
        <w:rPr>
          <w:rFonts w:ascii="Times New Roman" w:cs="Times New Roman" w:eastAsia="Times New Roman" w:hAnsi="Times New Roman"/>
          <w:sz w:val="16"/>
          <w:szCs w:val="16"/>
          <w:color w:val="auto"/>
        </w:rPr>
        <w:t>Other income decreased $1.4 million, or 28.3% in the first quarter of 2017, compared to the first quarter of 2016. Other income consists primarily of the gain on sale realized on trucks from the lease and rental fleet, document fees related to commercial vehicle sales and income from Central California Truck and Trailer Sales, LLC (“CCTTS”), our joint venture that operates non-franchised used commercial vehicle sales facilities in California and Arizona.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17" w:lineRule="exact"/>
        <w:rPr>
          <w:sz w:val="20"/>
          <w:szCs w:val="20"/>
          <w:color w:val="auto"/>
        </w:rPr>
      </w:pPr>
    </w:p>
    <w:p>
      <w:pPr>
        <w:jc w:val="both"/>
        <w:ind w:right="40" w:firstLine="634"/>
        <w:spacing w:after="0" w:line="251" w:lineRule="auto"/>
        <w:rPr>
          <w:sz w:val="20"/>
          <w:szCs w:val="20"/>
          <w:color w:val="auto"/>
        </w:rPr>
      </w:pPr>
      <w:r>
        <w:rPr>
          <w:rFonts w:ascii="Times New Roman" w:cs="Times New Roman" w:eastAsia="Times New Roman" w:hAnsi="Times New Roman"/>
          <w:sz w:val="18"/>
          <w:szCs w:val="18"/>
          <w:color w:val="auto"/>
        </w:rPr>
        <w:t>Gross profit increased $4.6 million, or 2.5%, in the first quarter of 2017, compared to the first quarter of 2016. Gross profit as a percentage of sales increased to 18.0% in the first quarter of 2017, from 17.1% in the first quarter of 2016. This increase in gross profit as a percentage of sales is a result of a change in our product sales mix. Commercial vehicle sales, a lower margin revenue item, decreased as a percentage of total revenues to 60.9% in the first quarter of 2017, from 62.4% in the first quarter of 2016. Aftermarket Services revenues, a higher margin revenue item, increased as a percentage of total revenues to 33.5% in the first quarter of 2017, from 31.9% in the first quarter of 2016.</w:t>
      </w:r>
    </w:p>
    <w:p>
      <w:pPr>
        <w:spacing w:after="0" w:line="185" w:lineRule="exact"/>
        <w:rPr>
          <w:sz w:val="20"/>
          <w:szCs w:val="20"/>
          <w:color w:val="auto"/>
        </w:rPr>
      </w:pPr>
    </w:p>
    <w:p>
      <w:pPr>
        <w:jc w:val="both"/>
        <w:ind w:right="40" w:firstLine="634"/>
        <w:spacing w:after="0" w:line="249" w:lineRule="auto"/>
        <w:rPr>
          <w:sz w:val="20"/>
          <w:szCs w:val="20"/>
          <w:color w:val="auto"/>
        </w:rPr>
      </w:pPr>
      <w:r>
        <w:rPr>
          <w:rFonts w:ascii="Times New Roman" w:cs="Times New Roman" w:eastAsia="Times New Roman" w:hAnsi="Times New Roman"/>
          <w:sz w:val="18"/>
          <w:szCs w:val="18"/>
          <w:color w:val="auto"/>
        </w:rPr>
        <w:t>Gross margins from our Aftermarket Services operations remained flat at 36.2% in the first quarter of 2017, and the first quarter of 2016. Gross profit from our Aftermarket Services operations increased to $125.6 million in the first quarter of 2017 from $123.7 million in the first quarter of 2016. Historically, gross margins on parts sales range from 27% to 28% and service and body shop operations range from 67% to 68%. Gross profits from parts sales represented 56% of total gross profit for Aftermarket Services operations in the first quarter of 2017 and 55% in the first quarter of 2016. Service and body shop operations represented 44% of total gross profit for Aftermarket Services operations in the first quarter of 2017 and 45% in the first quarter of 2016. We expect blended gross margins on Aftermarket Services operations to range from 36.0% to 36.3% in 2017.</w:t>
      </w: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8" w:name="page19"/>
    <w:bookmarkEnd w:id="18"/>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right="40" w:firstLine="634"/>
        <w:spacing w:after="0" w:line="257" w:lineRule="auto"/>
        <w:rPr>
          <w:sz w:val="20"/>
          <w:szCs w:val="20"/>
          <w:color w:val="auto"/>
        </w:rPr>
      </w:pPr>
      <w:r>
        <w:rPr>
          <w:rFonts w:ascii="Times New Roman" w:cs="Times New Roman" w:eastAsia="Times New Roman" w:hAnsi="Times New Roman"/>
          <w:sz w:val="18"/>
          <w:szCs w:val="18"/>
          <w:color w:val="auto"/>
        </w:rPr>
        <w:t>Gross margins on Class 8 truck sales increased to 8.2% in the first quarter of 2017, from 6.7% in the first quarter of 2016. This increase is attributable to the timing of truck sales and the sales mix in the first quarter of 2017, which consisted of increased sales to small fleet and vocational customers, which are higher margin revenue items. In 2017, we expect overall gross margins from Class 8 truck sales of approximately 6.5% to 7.0%.</w:t>
      </w:r>
    </w:p>
    <w:p>
      <w:pPr>
        <w:spacing w:after="0" w:line="180" w:lineRule="exact"/>
        <w:rPr>
          <w:sz w:val="20"/>
          <w:szCs w:val="20"/>
          <w:color w:val="auto"/>
        </w:rPr>
      </w:pPr>
    </w:p>
    <w:p>
      <w:pPr>
        <w:jc w:val="both"/>
        <w:ind w:right="40" w:firstLine="634"/>
        <w:spacing w:after="0" w:line="257"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6.7% in the first quarter of 2017, from 5.7% in the first quarter of 2016. This increase is attributable to the mix of products sold during the first quarter of 2017. For 2017, we expect overall gross margins from medium-duty commercial vehicle sales of approximately 5.7% to 6.5%, but this will largely depend upon the mix of purchasers and types of vehicles sold.</w:t>
      </w:r>
    </w:p>
    <w:p>
      <w:pPr>
        <w:spacing w:after="0" w:line="180" w:lineRule="exact"/>
        <w:rPr>
          <w:sz w:val="20"/>
          <w:szCs w:val="20"/>
          <w:color w:val="auto"/>
        </w:rPr>
      </w:pPr>
    </w:p>
    <w:p>
      <w:pPr>
        <w:jc w:val="both"/>
        <w:ind w:right="40" w:firstLine="634"/>
        <w:spacing w:after="0" w:line="257"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8.6% in the first quarter of 2017, from 10.1% in the first quarter of 2016. This decrease is primarily related to a significant decline in used commercial vehicle values caused by the oversupply of used Class 8 commercial vehicles for sale across the United States. We expect margins on used commercial vehicles to range between 8.0% and 9.0% during 2017.</w:t>
      </w:r>
    </w:p>
    <w:p>
      <w:pPr>
        <w:spacing w:after="0" w:line="180" w:lineRule="exact"/>
        <w:rPr>
          <w:sz w:val="20"/>
          <w:szCs w:val="20"/>
          <w:color w:val="auto"/>
        </w:rPr>
      </w:pPr>
    </w:p>
    <w:p>
      <w:pPr>
        <w:jc w:val="both"/>
        <w:ind w:right="20" w:firstLine="634"/>
        <w:spacing w:after="0" w:line="251"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13.5% in the first quarter of 2017, from 10.3% in the first quarter of 2016. This increase is primarily related to increased rental fleet utilization. We expect gross margins from lease and rental sales of approximately 12.0% to 14.0% during 2017.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5" w:lineRule="exact"/>
        <w:rPr>
          <w:sz w:val="20"/>
          <w:szCs w:val="20"/>
          <w:color w:val="auto"/>
        </w:rPr>
      </w:pPr>
    </w:p>
    <w:p>
      <w:pPr>
        <w:ind w:right="40" w:firstLine="634"/>
        <w:spacing w:after="0" w:line="270"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$12.0 million, or 7.4%, in the first quarter of 2017, compared to the first quarter of 2016. This decrease is primarily due to the restructuring and impairment charges of $8.1 million that occurred in the first quarter of 2016.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2017, we expect SG&amp;A expenses as a percentage of total revenues to range from 13.9% to 14.5% and the selling portion of SG&amp;A expenses to be approximately 25.0% to 30.0% of new and used commercial vehicle gross profit.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17"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Net interest expense decreased $1.4 million, or 34.2%, in the first quarter of 2017 compared to the first quarter of 2016. This decrease is primarily related to increased prepayments on floor plan arrangements. Net interest expense in 2017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17" w:lineRule="exact"/>
        <w:rPr>
          <w:sz w:val="20"/>
          <w:szCs w:val="20"/>
          <w:color w:val="auto"/>
        </w:rPr>
      </w:pPr>
    </w:p>
    <w:p>
      <w:pPr>
        <w:jc w:val="both"/>
        <w:ind w:right="20" w:firstLine="634"/>
        <w:spacing w:after="0" w:line="270" w:lineRule="auto"/>
        <w:rPr>
          <w:sz w:val="20"/>
          <w:szCs w:val="20"/>
          <w:color w:val="auto"/>
        </w:rPr>
      </w:pPr>
      <w:r>
        <w:rPr>
          <w:rFonts w:ascii="Times New Roman" w:cs="Times New Roman" w:eastAsia="Times New Roman" w:hAnsi="Times New Roman"/>
          <w:sz w:val="18"/>
          <w:szCs w:val="18"/>
          <w:color w:val="auto"/>
        </w:rPr>
        <w:t>As a result of the factors described above, income from continuing operations before income taxes increased $18.1 million, or 459.6%, in the first quarter of 2017 compared to the first quarter of 2016.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5"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 xml:space="preserve">Income taxes increased $6.0 million, or 389.9%, in the first quarter of 2017, compared to the first quarter of 2016. ASU 2016-09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(Topic 718)” </w:t>
      </w:r>
      <w:r>
        <w:rPr>
          <w:rFonts w:ascii="Times New Roman" w:cs="Times New Roman" w:eastAsia="Times New Roman" w:hAnsi="Times New Roman"/>
          <w:sz w:val="18"/>
          <w:szCs w:val="18"/>
          <w:color w:val="auto"/>
        </w:rPr>
        <w:t>requires excess tax benefits and tax deficiencies to be recorded in the income statement when equity awards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equity compensation plans vest or are settled. In the first quarter of 2017, we recorded a $1.1 million tax benefit which reduced income tax expense. We provided for taxes at a 39.0% effective rate in the first quarter of 2017 and 39.25% in the first quarter of 2016. We expect our effective tax rate to be approximately 38.5% to 39.0% of pretax income in 2017.</w:t>
      </w: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19" w:name="page20"/>
    <w:bookmarkEnd w:id="19"/>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2017, we had working capital of approximately $140.1 million, including $89.1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(the “Floor Plan Credit Agreement”), and the resulting interest earned is recognized as an offset to our gross interest expense under the Floor Plan Credit Agreement.</w:t>
      </w:r>
    </w:p>
    <w:p>
      <w:pPr>
        <w:spacing w:after="0" w:line="186"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March 31, 2017, however, $12.0 million was pledged to secure various letters of credit related to self-insurance products, leaving $5.5 million available for future borrowings as of March 31, 2017.</w:t>
      </w:r>
    </w:p>
    <w:p>
      <w:pPr>
        <w:spacing w:after="0" w:line="180" w:lineRule="exact"/>
        <w:rPr>
          <w:sz w:val="20"/>
          <w:szCs w:val="20"/>
          <w:color w:val="auto"/>
        </w:rPr>
      </w:pPr>
    </w:p>
    <w:p>
      <w:pPr>
        <w:jc w:val="both"/>
        <w:ind w:firstLine="634"/>
        <w:spacing w:after="0" w:line="283" w:lineRule="auto"/>
        <w:rPr>
          <w:sz w:val="20"/>
          <w:szCs w:val="20"/>
          <w:color w:val="auto"/>
        </w:rPr>
      </w:pPr>
      <w:r>
        <w:rPr>
          <w:rFonts w:ascii="Times New Roman" w:cs="Times New Roman" w:eastAsia="Times New Roman" w:hAnsi="Times New Roman"/>
          <w:sz w:val="16"/>
          <w:szCs w:val="16"/>
          <w:color w:val="auto"/>
        </w:rPr>
        <w:t>On March 21, 2017, we entered into a working capital facility with BMO Harris (the “Working Capital Facility”). The Working Capital Facility includes up to $100 million of revolving credit loans to the Company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will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There were no advances outstanding under the Working Capital Facility as of March 31, 2017.</w:t>
      </w:r>
    </w:p>
    <w:p>
      <w:pPr>
        <w:spacing w:after="0" w:line="165" w:lineRule="exact"/>
        <w:rPr>
          <w:sz w:val="20"/>
          <w:szCs w:val="20"/>
          <w:color w:val="auto"/>
        </w:rPr>
      </w:pPr>
    </w:p>
    <w:p>
      <w:pPr>
        <w:jc w:val="both"/>
        <w:ind w:right="20" w:firstLine="634"/>
        <w:spacing w:after="0" w:line="253" w:lineRule="auto"/>
        <w:rPr>
          <w:sz w:val="20"/>
          <w:szCs w:val="20"/>
          <w:color w:val="auto"/>
        </w:rPr>
      </w:pPr>
      <w:r>
        <w:rPr>
          <w:rFonts w:ascii="Times New Roman" w:cs="Times New Roman" w:eastAsia="Times New Roman" w:hAnsi="Times New Roman"/>
          <w:sz w:val="18"/>
          <w:szCs w:val="18"/>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March 31, 2017,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83"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color w:val="auto"/>
        </w:rPr>
        <w:t>We expect to purchase or lease trucks worth approximately $150.0 million to $175.0 million for our leasing operations during 2017, depending on customer demand, all of which will be financed. We also expect to make capital expenditures for recurring items such as computers, shop tools and equipment and vehicles of approximately $20.0 million to $25.0 million during 2017.</w:t>
      </w:r>
    </w:p>
    <w:p>
      <w:pPr>
        <w:spacing w:after="0" w:line="180"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On November 30, 2016, we announced that our Board of Directors authorized the repurchase, from time to time, of up to an aggregate of $40.0 million shares of Class A Common Stock and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30, 2017, and may be suspended or discontinued at any time.</w:t>
      </w:r>
    </w:p>
    <w:p>
      <w:pPr>
        <w:spacing w:after="0" w:line="186"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 70% to 80% of the appraised value of such facility.</w:t>
      </w:r>
    </w:p>
    <w:p>
      <w:pPr>
        <w:spacing w:after="0" w:line="180"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March 31, 2017.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0" w:name="page21"/>
    <w:bookmarkEnd w:id="20"/>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7" w:lineRule="exact"/>
        <w:rPr>
          <w:sz w:val="20"/>
          <w:szCs w:val="20"/>
          <w:color w:val="auto"/>
        </w:rPr>
      </w:pPr>
    </w:p>
    <w:p>
      <w:pPr>
        <w:ind w:right="40" w:firstLine="634"/>
        <w:spacing w:after="0" w:line="270" w:lineRule="auto"/>
        <w:rPr>
          <w:sz w:val="20"/>
          <w:szCs w:val="20"/>
          <w:color w:val="auto"/>
        </w:rPr>
      </w:pPr>
      <w:r>
        <w:rPr>
          <w:rFonts w:ascii="Times New Roman" w:cs="Times New Roman" w:eastAsia="Times New Roman" w:hAnsi="Times New Roman"/>
          <w:sz w:val="18"/>
          <w:szCs w:val="18"/>
          <w:color w:val="auto"/>
        </w:rPr>
        <w:t>Cash and cash equivalents increased by $7.0 million during the three months ended March 31, 2017, and increased by $7.8 million during the three months ended March 31, 2016. The major components of these changes are discussed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17"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2017, operating activities resulted in net cash provided by operations of $37.5 million. Net cash provided by operating activities primarily consisted of $14.5 million in net income, as well as non-cash adjustments related to depreciation and amortization of $38.7 million, deferred income taxes of $1.4 million, and stock-based compensation of $4.8 million. Cash used in operating activities included an aggregate of $22.0 million net change in operating assets and liabilities. Included in the net change in operating assets and liabilities primarily were cash inflows of $18.6 million from the net increase in floor plan, trade which was offset by $12.9 million from the increase in accounts receivable, $19.4 million from the increase in inventories, $2.2 million from the decrease in customer deposits and $5.5 million from the net decrease in accounts payable and accrued liabilities. The majority of our commercial vehicle inventory is financed through our floor plan credit agreements.</w:t>
      </w:r>
    </w:p>
    <w:p>
      <w:pPr>
        <w:spacing w:after="0" w:line="190"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During the first quarter of 2016, operating activities resulted in net cash provided by operations of $101.2 million. Net cash provided by operating activities primarily consisted of $2.4 million in net income, as well as non-cash adjustments related to depreciation and amortization of $39.0 million, deferred income taxes of $7.6 million, and stock-based compensation including tax expense of $4.6 million. Cash used in operating activities included an aggregate of $55.0 million net change in operating assets and liabilities. Included in the net change in operating assets and liabilities were cash inflows of $5.3 million from the decrease in accounts receivable, $49.9 million from the decrease in inventories, $2.3 million from the decrease in customer deposits and $21.4 from the decrease in prepaid expenses and other assets, net which were offset by cash outflows of $1.8 million from the net decrease in floor plan, trade, and $22.1 million from decreases in accounts payable and accrued liabilities.</w:t>
      </w:r>
    </w:p>
    <w:p>
      <w:pPr>
        <w:spacing w:after="0" w:line="186" w:lineRule="exact"/>
        <w:rPr>
          <w:sz w:val="20"/>
          <w:szCs w:val="20"/>
          <w:color w:val="auto"/>
        </w:rPr>
      </w:pPr>
    </w:p>
    <w:p>
      <w:pPr>
        <w:jc w:val="both"/>
        <w:ind w:right="40" w:firstLine="634"/>
        <w:spacing w:after="0" w:line="251"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March 31, 2017, the interest rate on the wholesale financing agreement was 5.25% before considering the applicable incentives. As of March 31, 2017, we had an outstanding balance of approximately $80.9 million under the Ford Motor Credit Company wholesale financing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During the first quarter of 2017, cash used in investing activities was $32.4 million. Cash flows used in investing activities consist primarily of cash used for capital expenditures. Capital expenditures of $39.2 million consisted primarily of $11.3 million for purchases of property and equipment and improvements to our existing dealership facilities and $27.9 million for additional units for the rental and leasing operations, which was directly offset by borrowings of long-term debt. We expect to purchase or lease trucks worth approximately $150.0 million to $175.0 million for our leasing operations in 2017, depending on customer demand, all of which will be financed. During 2017, we expect to make capital expenditures for recurring items such as computers, shop equipment and vehicles of $20.0 million to $25.0 million.</w:t>
      </w:r>
    </w:p>
    <w:p>
      <w:pPr>
        <w:spacing w:after="0" w:line="19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first quarter of 2016, cash used in investing activities was $52.6 million. Cash flows used in investing activities consist primarily of cash used for capital expenditures. Capital expenditures of $53.9 million consisted primarily of $20.1 million for purchases of property and equipment and improvements to our existing dealership facilities and $33.8 million for additional units for the rental and leasing operations, which was directly offset by borrowings of long-term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quarter of 2017, we generated $2.0 million in net cash flow from financing activities. Cash outflows were primarily related to $41.5 million used for principal repayments of long-term debt and capital lease obligations and $7.6 million used for repurchase of common stock. These cash outflows were offset by cash inflows related to $19.1 million from net draws on floor plan notes payable, non-trade, borrowings of $25.6 million of long-term debt and $6.9 million from the issuance of shares related to equity compensation plans. The borrowings of long-term debt were related to purchasing units for the rental and leasing operations.</w:t>
      </w: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1" w:name="page22"/>
    <w:bookmarkEnd w:id="21"/>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During the first quarter of 2016, we used $40.8 million in net cash flow from financing activities. Cash outflows were primarily related to $27.0 million from net payments on floor plan notes payable, non-trade and $47.4 million used for principal repayments of long-term debt and capital lease obligations. These cash outflows were offset by cash inflows related to borrowings of $32.2 million of long-term debt and $2.3 million from the issuance of shares related to equity compensation plans. The borrowings of long-term debt were primarily related to purchasing units for the rental and leasing operations.</w:t>
      </w:r>
    </w:p>
    <w:p>
      <w:pPr>
        <w:spacing w:after="0" w:line="185" w:lineRule="exact"/>
        <w:rPr>
          <w:sz w:val="20"/>
          <w:szCs w:val="20"/>
          <w:color w:val="auto"/>
        </w:rPr>
      </w:pPr>
    </w:p>
    <w:p>
      <w:pPr>
        <w:jc w:val="both"/>
        <w:ind w:firstLine="634"/>
        <w:spacing w:after="0" w:line="281" w:lineRule="auto"/>
        <w:rPr>
          <w:sz w:val="20"/>
          <w:szCs w:val="20"/>
          <w:color w:val="auto"/>
        </w:rPr>
      </w:pPr>
      <w:r>
        <w:rPr>
          <w:rFonts w:ascii="Times New Roman" w:cs="Times New Roman" w:eastAsia="Times New Roman" w:hAnsi="Times New Roman"/>
          <w:sz w:val="16"/>
          <w:szCs w:val="16"/>
          <w:color w:val="auto"/>
        </w:rPr>
        <w:t>Most of our commercial vehicle purchases are made on terms requiring payment to the manufacturer within 15 days or less from the date the commercial vehicles are invoiced from the factory. During the first quarter of 2017,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w:t>
      </w:r>
    </w:p>
    <w:p>
      <w:pPr>
        <w:spacing w:after="0" w:line="1" w:lineRule="exact"/>
        <w:rPr>
          <w:sz w:val="20"/>
          <w:szCs w:val="20"/>
          <w:color w:val="auto"/>
        </w:rPr>
      </w:pPr>
    </w:p>
    <w:p>
      <w:pPr>
        <w:jc w:val="both"/>
        <w:ind w:firstLine="6"/>
        <w:spacing w:after="0" w:line="245" w:lineRule="auto"/>
        <w:tabs>
          <w:tab w:leader="none" w:pos="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March 31, 2017, we had approximately $538.7 million outstanding under the Floor Plan Credit Agreement. The average daily outstanding borrowings under the Floor Plan Credit Agreement were $517.2 million during the three months ended March 31, 2017.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2"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17"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On March 31, 2017, our backlog of commercial vehicle orders was approximately $1,036.2 million, as compared to a backlog of commercial vehicle orders of approximately $1,072.1 million on March 31, 2016.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2017, and we expect to fill the majority of our backlog orders during 2017.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17" w:lineRule="exact"/>
        <w:rPr>
          <w:sz w:val="20"/>
          <w:szCs w:val="20"/>
          <w:color w:val="auto"/>
        </w:rPr>
      </w:pPr>
    </w:p>
    <w:p>
      <w:pPr>
        <w:jc w:val="both"/>
        <w:ind w:right="20" w:firstLine="634"/>
        <w:spacing w:after="0" w:line="253"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2" w:name="page23"/>
    <w:bookmarkEnd w:id="22"/>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17" w:lineRule="exact"/>
        <w:rPr>
          <w:sz w:val="20"/>
          <w:szCs w:val="20"/>
          <w:color w:val="auto"/>
        </w:rPr>
      </w:pPr>
    </w:p>
    <w:p>
      <w:pPr>
        <w:jc w:val="both"/>
        <w:ind w:right="40" w:firstLine="634"/>
        <w:spacing w:after="0" w:line="249" w:lineRule="auto"/>
        <w:rPr>
          <w:sz w:val="20"/>
          <w:szCs w:val="20"/>
          <w:color w:val="auto"/>
        </w:rPr>
      </w:pPr>
      <w:r>
        <w:rPr>
          <w:rFonts w:ascii="Times New Roman" w:cs="Times New Roman" w:eastAsia="Times New Roman" w:hAnsi="Times New Roman"/>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291,000 in 2006. Through geographic expansion, concentration on higher margin Aftermarket Services and diversification of our customer base, we have attempted to reduce the negative impact of adverse general economic conditions or cyclical trends affecting the Class 8 commercial vehicle industry on our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17" w:lineRule="exact"/>
        <w:rPr>
          <w:sz w:val="20"/>
          <w:szCs w:val="20"/>
          <w:color w:val="auto"/>
        </w:rPr>
      </w:pPr>
    </w:p>
    <w:p>
      <w:pPr>
        <w:jc w:val="both"/>
        <w:ind w:right="40" w:firstLine="634"/>
        <w:spacing w:after="0" w:line="257"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17"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0" w:lineRule="exact"/>
        <w:rPr>
          <w:sz w:val="20"/>
          <w:szCs w:val="20"/>
          <w:color w:val="auto"/>
        </w:rPr>
      </w:pPr>
    </w:p>
    <w:p>
      <w:pPr>
        <w:jc w:val="both"/>
        <w:ind w:right="20" w:firstLine="634"/>
        <w:spacing w:after="0" w:line="249"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90" w:lineRule="exact"/>
        <w:rPr>
          <w:sz w:val="20"/>
          <w:szCs w:val="20"/>
          <w:color w:val="auto"/>
        </w:rPr>
      </w:pPr>
    </w:p>
    <w:p>
      <w:pPr>
        <w:jc w:val="both"/>
        <w:ind w:firstLine="634"/>
        <w:spacing w:after="0" w:line="249"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6" w:lineRule="exact"/>
        <w:rPr>
          <w:sz w:val="20"/>
          <w:szCs w:val="20"/>
          <w:color w:val="auto"/>
        </w:rPr>
      </w:pPr>
    </w:p>
    <w:p>
      <w:pPr>
        <w:jc w:val="both"/>
        <w:ind w:right="20" w:firstLine="634"/>
        <w:spacing w:after="0" w:line="253"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3" w:lineRule="exact"/>
        <w:rPr>
          <w:sz w:val="20"/>
          <w:szCs w:val="20"/>
          <w:color w:val="auto"/>
        </w:rPr>
      </w:pPr>
    </w:p>
    <w:p>
      <w:pPr>
        <w:jc w:val="both"/>
        <w:ind w:right="20" w:firstLine="634"/>
        <w:spacing w:after="0" w:line="248"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On August 16, 2016, the EPA and NHTSA issued final rules that largely adopted their June 19, 2015 proposal. We do not believe that the foregoing adopted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3" w:name="page24"/>
    <w:bookmarkEnd w:id="23"/>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7" w:lineRule="exact"/>
        <w:rPr>
          <w:sz w:val="20"/>
          <w:szCs w:val="20"/>
          <w:color w:val="auto"/>
        </w:rPr>
      </w:pPr>
    </w:p>
    <w:p>
      <w:pPr>
        <w:jc w:val="both"/>
        <w:ind w:right="40" w:firstLine="634"/>
        <w:spacing w:after="0" w:line="270"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8" w:lineRule="exact"/>
        <w:rPr>
          <w:sz w:val="20"/>
          <w:szCs w:val="20"/>
          <w:color w:val="auto"/>
        </w:rPr>
      </w:pPr>
    </w:p>
    <w:p>
      <w:pPr>
        <w:jc w:val="both"/>
        <w:ind w:right="40" w:firstLine="634"/>
        <w:spacing w:after="0" w:line="253"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our floor plan financing agreements, the Working Capital Facility, variable rate real estate debt and discount rates related to finance sales. The majority of floor plan debt and variable rate real estate debt is based on LIBOR. As of March 31, 2017, we had floor plan borrowings and variable interest rate real estate debt of approximately $790.3 million. Assuming an increase or decrease in LIBOR of 100 basis points, annual interest expense could correspondingly increase or decrease by approximately $7.9 million.</w:t>
      </w:r>
    </w:p>
    <w:p>
      <w:pPr>
        <w:spacing w:after="0" w:line="183" w:lineRule="exact"/>
        <w:rPr>
          <w:sz w:val="20"/>
          <w:szCs w:val="20"/>
          <w:color w:val="auto"/>
        </w:rPr>
      </w:pPr>
    </w:p>
    <w:p>
      <w:pPr>
        <w:jc w:val="both"/>
        <w:ind w:right="40" w:firstLine="634"/>
        <w:spacing w:after="0" w:line="248" w:lineRule="auto"/>
        <w:rPr>
          <w:sz w:val="20"/>
          <w:szCs w:val="20"/>
          <w:color w:val="auto"/>
        </w:rPr>
      </w:pPr>
      <w:r>
        <w:rPr>
          <w:rFonts w:ascii="Times New Roman" w:cs="Times New Roman" w:eastAsia="Times New Roman" w:hAnsi="Times New Roman"/>
          <w:sz w:val="18"/>
          <w:szCs w:val="18"/>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March 31, 2017, we hold auction rate securities, with underlying tax-exempt municipal bonds that mature in 2030, that have a fair value of $6.2 million. Given the current market conditions in the auction rate securities market, if we determine that the fair value of these securities temporarily decreases by an additional 10%, our equity could correspondingly decrease by approximately $620,000. If it is determined that the fair value of these securities is other-than-temporarily impaired by 10%, we could record a loss on our Consolidated Statements of Income and Comprehensive Income of approximately $620,000. For further discussion of the risks related to our auction rate securities, see Note 6 – Financial Instruments and Fair Value of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jc w:val="both"/>
        <w:ind w:right="40" w:firstLine="634"/>
        <w:spacing w:after="0" w:line="249"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2017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6" w:lineRule="exact"/>
        <w:rPr>
          <w:sz w:val="20"/>
          <w:szCs w:val="20"/>
          <w:color w:val="auto"/>
        </w:rPr>
      </w:pPr>
    </w:p>
    <w:p>
      <w:pPr>
        <w:jc w:val="both"/>
        <w:ind w:right="40" w:firstLine="634"/>
        <w:spacing w:after="0" w:line="270"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080"/>
          </w:cols>
          <w:pgMar w:left="240" w:top="114" w:right="579" w:bottom="1440" w:gutter="0" w:footer="0" w:header="0"/>
        </w:sectPr>
      </w:pPr>
    </w:p>
    <w:bookmarkStart w:id="24" w:name="page25"/>
    <w:bookmarkEnd w:id="24"/>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7" w:lineRule="exact"/>
        <w:rPr>
          <w:sz w:val="20"/>
          <w:szCs w:val="20"/>
          <w:color w:val="auto"/>
        </w:rPr>
      </w:pPr>
    </w:p>
    <w:p>
      <w:pPr>
        <w:jc w:val="both"/>
        <w:ind w:right="380" w:firstLine="63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both"/>
        <w:ind w:right="380" w:firstLine="634"/>
        <w:spacing w:after="0" w:line="253"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2016 Annual Report on Form 10-K (the “2016 Annual Report”) describes some of the risks and uncertainties associated with our business that have the potential to materially affect our business, financial condition or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2016 Annual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did not make any unregistered sales of equity securities during the first quarter of 2017.</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first quarter of 2017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Total Number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Dollar Value</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May</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 Part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Yet be</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Plans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Plans</w:t>
            </w:r>
          </w:p>
        </w:tc>
      </w:tr>
      <w:tr>
        <w:trPr>
          <w:trHeight w:val="211"/>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6"/>
              </w:rPr>
              <w:t>Per 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31"/>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r>
      <w:tr>
        <w:trPr>
          <w:trHeight w:val="205"/>
        </w:trPr>
        <w:tc>
          <w:tcPr>
            <w:tcW w:w="59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January 1 – January 31, 2017</w:t>
            </w:r>
          </w:p>
        </w:tc>
        <w:tc>
          <w:tcPr>
            <w:tcW w:w="1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75,499</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31.34</w:t>
            </w:r>
          </w:p>
        </w:tc>
        <w:tc>
          <w:tcPr>
            <w:tcW w:w="36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75,499</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   34,152,628</w:t>
            </w:r>
          </w:p>
        </w:tc>
        <w:tc>
          <w:tcPr>
            <w:tcW w:w="100" w:type="dxa"/>
            <w:vAlign w:val="bottom"/>
            <w:shd w:val="clear" w:color="auto" w:fill="CCEEFF"/>
          </w:tcPr>
          <w:p>
            <w:pPr>
              <w:spacing w:after="0"/>
              <w:rPr>
                <w:sz w:val="17"/>
                <w:szCs w:val="17"/>
                <w:color w:val="auto"/>
              </w:rPr>
            </w:pP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30.74 (5)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30,780,672</w:t>
            </w:r>
          </w:p>
        </w:tc>
      </w:tr>
      <w:tr>
        <w:trPr>
          <w:trHeight w:val="21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2017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30.90 (6)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28,960,871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5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243,918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8"/>
                <w:szCs w:val="18"/>
                <w:color w:val="auto"/>
              </w:rPr>
              <w:t>243,918</w:t>
            </w:r>
          </w:p>
        </w:tc>
        <w:tc>
          <w:tcPr>
            <w:tcW w:w="1220" w:type="dxa"/>
            <w:vAlign w:val="bottom"/>
            <w:gridSpan w:val="2"/>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28,960,871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right="360" w:hanging="634"/>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40" w:hanging="63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B Common Stock repurchased by the Company.</w:t>
      </w:r>
    </w:p>
    <w:p>
      <w:pPr>
        <w:spacing w:after="0" w:line="4" w:lineRule="exact"/>
        <w:rPr>
          <w:rFonts w:ascii="Times New Roman" w:cs="Times New Roman" w:eastAsia="Times New Roman" w:hAnsi="Times New Roman"/>
          <w:sz w:val="18"/>
          <w:szCs w:val="18"/>
          <w:color w:val="auto"/>
        </w:rPr>
      </w:pPr>
    </w:p>
    <w:p>
      <w:pPr>
        <w:ind w:left="640" w:right="100" w:hanging="634"/>
        <w:spacing w:after="0" w:line="24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shares under a stock repurchase program announced on November 30, 2016, which authorized the repurchase of up to $40.0 million of its shares of Class A Common Stock and/or Class B Common Stock and will expire on November 30, 2017.</w:t>
      </w:r>
    </w:p>
    <w:p>
      <w:pPr>
        <w:spacing w:after="0" w:line="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75,499 shares of Class B Common Stock at an average price paid per share of $31.34.</w:t>
      </w:r>
    </w:p>
    <w:p>
      <w:pPr>
        <w:spacing w:after="0" w:line="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109,583 shares of Class B Common Stock at an average price paid per share of $30.74.</w:t>
      </w:r>
    </w:p>
    <w:p>
      <w:pPr>
        <w:spacing w:after="0" w:line="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58,836 shares of Class B Common Stock at an average price paid per share of $30.90.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5" w:name="page26"/>
    <w:bookmarkEnd w:id="25"/>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6"/>
                <w:szCs w:val="16"/>
                <w:color w:val="auto"/>
              </w:rPr>
            </w:pPr>
          </w:p>
        </w:tc>
        <w:tc>
          <w:tcPr>
            <w:tcW w:w="1028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Exhibit Title</w:t>
            </w:r>
          </w:p>
        </w:tc>
        <w:tc>
          <w:tcPr>
            <w:tcW w:w="0" w:type="dxa"/>
            <w:vAlign w:val="bottom"/>
          </w:tcPr>
          <w:p>
            <w:pPr>
              <w:spacing w:after="0"/>
              <w:rPr>
                <w:sz w:val="1"/>
                <w:szCs w:val="1"/>
                <w:color w:val="auto"/>
              </w:rPr>
            </w:pPr>
          </w:p>
        </w:tc>
      </w:tr>
      <w:tr>
        <w:trPr>
          <w:trHeight w:val="231"/>
        </w:trPr>
        <w:tc>
          <w:tcPr>
            <w:tcW w:w="26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vMerge w:val="restart"/>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26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w w:val="98"/>
              </w:rPr>
              <w:t>Restated Articles of Incorporation of Rush Enterprises, Inc. (incorporated herein by reference to Exhibit 3.1 of the Company’s Quarterly Report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Form 10-Q (File No. 000-20797) for the quarter ended June 30, 2008)</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Rush Enterprises, Inc. Amended and Restated Bylaws (incorporated herein by reference to Exhibit 3.1 of the Company’s Current Report on Form</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 (File No. 000-20797) filed May 21,2013)</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Agreement, dated as of March 21, 2017 by and among the Company, the Lenders signatory thereto and BMO Harris Bank N.A., as</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Administrative Agent (incorporated herein by reference to Exhibit 10.1 of the Company's Current Report on Form 8-K (File No. 000-20797)</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March 27, 2017)</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Agreement, dated as of March 21, 2017, made by the Company in favor of BMO Harris Bank N.A., as Administrative Agent</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10.2 of the Company's Current Report on Form 8-K (File No. 000-20797) filed March 27, 2017)</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Intercreditor Agreement, dated as of March 21, 2017, by and among BMO Harris Bank N.A., as Administrative Agent under the Credit</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Agreement, BMO Harris Bank N.A., as Administrative Agent and Collateral Agent under the Third Amended and Restated Credit Agreement,</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dated as of July 7, 2016, and the Company (incorporated herein by reference to Exhibit 10.3 of the Company's Current Report on Form 8-K (File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000-20797) filed March 27, 2017)</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31.1*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31.2*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6"/>
              </w:rPr>
              <w:t>32.1**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6"/>
              </w:rPr>
              <w:t>32.2**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05"/>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sz w:val="20"/>
          <w:szCs w:val="20"/>
          <w:color w:val="auto"/>
        </w:rPr>
      </w:pPr>
    </w:p>
    <w:p>
      <w:pPr>
        <w:ind w:left="640" w:right="40" w:hanging="634"/>
        <w:spacing w:after="0" w:line="310" w:lineRule="auto"/>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7075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29" w:lineRule="exact"/>
        <w:rPr>
          <w:sz w:val="20"/>
          <w:szCs w:val="20"/>
          <w:color w:val="auto"/>
        </w:rPr>
      </w:pPr>
    </w:p>
    <w:p>
      <w:pPr>
        <w:ind w:right="420" w:firstLine="39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10, 2017</w:t>
            </w:r>
          </w:p>
        </w:tc>
        <w:tc>
          <w:tcPr>
            <w:tcW w:w="8520" w:type="dxa"/>
            <w:vAlign w:val="bottom"/>
            <w:gridSpan w:val="4"/>
          </w:tcPr>
          <w:p>
            <w:pPr>
              <w:ind w:left="142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0"/>
        </w:trPr>
        <w:tc>
          <w:tcPr>
            <w:tcW w:w="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12"/>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W.M. “Rusty” Rush</w:t>
            </w:r>
          </w:p>
        </w:tc>
      </w:tr>
      <w:tr>
        <w:trPr>
          <w:trHeight w:val="211"/>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1"/>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9"/>
        </w:trPr>
        <w:tc>
          <w:tcPr>
            <w:tcW w:w="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10, 2017</w:t>
            </w:r>
          </w:p>
        </w:tc>
        <w:tc>
          <w:tcPr>
            <w:tcW w:w="8520" w:type="dxa"/>
            <w:vAlign w:val="bottom"/>
            <w:gridSpan w:val="4"/>
          </w:tcPr>
          <w:p>
            <w:pPr>
              <w:ind w:left="142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0"/>
        </w:trPr>
        <w:tc>
          <w:tcPr>
            <w:tcW w:w="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r>
      <w:tr>
        <w:trPr>
          <w:trHeight w:val="212"/>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1"/>
        </w:trPr>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9"/>
        </w:trPr>
        <w:tc>
          <w:tcPr>
            <w:tcW w:w="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52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71"/>
        </w:trPr>
        <w:tc>
          <w:tcPr>
            <w:tcW w:w="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43"/>
        </w:trPr>
        <w:tc>
          <w:tcPr>
            <w:tcW w:w="500" w:type="dxa"/>
            <w:vAlign w:val="bottom"/>
            <w:tcBorders>
              <w:bottom w:val="single" w:sz="8" w:color="808080"/>
            </w:tcBorders>
          </w:tcPr>
          <w:p>
            <w:pPr>
              <w:spacing w:after="0"/>
              <w:rPr>
                <w:sz w:val="12"/>
                <w:szCs w:val="12"/>
                <w:color w:val="auto"/>
              </w:rPr>
            </w:pPr>
          </w:p>
        </w:tc>
        <w:tc>
          <w:tcPr>
            <w:tcW w:w="2440" w:type="dxa"/>
            <w:vAlign w:val="bottom"/>
            <w:tcBorders>
              <w:bottom w:val="single" w:sz="8" w:color="808080"/>
            </w:tcBorders>
          </w:tcPr>
          <w:p>
            <w:pPr>
              <w:spacing w:after="0"/>
              <w:rPr>
                <w:sz w:val="12"/>
                <w:szCs w:val="12"/>
                <w:color w:val="auto"/>
              </w:rPr>
            </w:pPr>
          </w:p>
        </w:tc>
        <w:tc>
          <w:tcPr>
            <w:tcW w:w="176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48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-37465</wp:posOffset>
            </wp:positionV>
            <wp:extent cx="127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27" w:name="page28"/>
    <w:bookmarkEnd w:id="27"/>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4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03"/>
        </w:trPr>
        <w:tc>
          <w:tcPr>
            <w:tcW w:w="2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6"/>
                <w:szCs w:val="16"/>
                <w:color w:val="auto"/>
              </w:rPr>
            </w:pPr>
          </w:p>
        </w:tc>
        <w:tc>
          <w:tcPr>
            <w:tcW w:w="1028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Exhibit Title</w:t>
            </w:r>
          </w:p>
        </w:tc>
        <w:tc>
          <w:tcPr>
            <w:tcW w:w="0" w:type="dxa"/>
            <w:vAlign w:val="bottom"/>
          </w:tcPr>
          <w:p>
            <w:pPr>
              <w:spacing w:after="0"/>
              <w:rPr>
                <w:sz w:val="1"/>
                <w:szCs w:val="1"/>
                <w:color w:val="auto"/>
              </w:rPr>
            </w:pPr>
          </w:p>
        </w:tc>
      </w:tr>
      <w:tr>
        <w:trPr>
          <w:trHeight w:val="231"/>
        </w:trPr>
        <w:tc>
          <w:tcPr>
            <w:tcW w:w="26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vMerge w:val="restart"/>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26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w w:val="98"/>
              </w:rPr>
              <w:t>Restated Articles of Incorporation of Rush Enterprises, Inc. (incorporated herein by reference to Exhibit 3.1 of the Company’s Quarterly Report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Form 10-Q (File No. 000-20797) for the quarter ended June 30, 2008)</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Rush Enterprises, Inc. Amended and Restated Bylaws (incorporated herein by reference to Exhibit 3.1 of the Company’s Current Report on Form</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 (File No. 000-20797) filed May 21,2013)</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Agreement, dated as of March 21, 2017 by and among the Company, the Lenders signatory thereto and BMO Harris Bank N.A., as</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Administrative Agent (incorporated herein by reference to Exhibit 10.1 of the Company's Current Report on Form 8-K (File No. 000-20797)</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March 27, 2017)</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Agreement, dated as of March 21, 2017, made by the Company in favor of BMO Harris Bank N.A., as Administrative Agent</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10.2 of the Company's Current Report on Form 8-K (File No. 000-20797) filed March 27, 2017)</w:t>
            </w:r>
          </w:p>
        </w:tc>
        <w:tc>
          <w:tcPr>
            <w:tcW w:w="0" w:type="dxa"/>
            <w:vAlign w:val="bottom"/>
          </w:tcPr>
          <w:p>
            <w:pPr>
              <w:spacing w:after="0"/>
              <w:rPr>
                <w:sz w:val="1"/>
                <w:szCs w:val="1"/>
                <w:color w:val="auto"/>
              </w:rPr>
            </w:pPr>
          </w:p>
        </w:tc>
      </w:tr>
      <w:tr>
        <w:trPr>
          <w:trHeight w:val="405"/>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Intercreditor Agreement, dated as of March 21, 2017, by and among BMO Harris Bank N.A., as Administrative Agent under the Credit</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Agreement, BMO Harris Bank N.A., as Administrative Agent and Collateral Agent under the Third Amended and Restated Credit Agreement,</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dated as of July 7, 2016, and the Company (incorporated herein by reference to Exhibit 10.3 of the Company's Current Report on Form 8-K (File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000-20797) filed March 27, 2017)</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31.1*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31.2*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6"/>
              </w:rPr>
              <w:t>32.1**</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22"/>
        </w:trPr>
        <w:tc>
          <w:tcPr>
            <w:tcW w:w="9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6"/>
              </w:rPr>
              <w:t>32.2**</w:t>
            </w:r>
          </w:p>
        </w:tc>
        <w:tc>
          <w:tcPr>
            <w:tcW w:w="26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05"/>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sz w:val="20"/>
          <w:szCs w:val="20"/>
          <w:color w:val="auto"/>
        </w:rPr>
      </w:pPr>
    </w:p>
    <w:p>
      <w:pPr>
        <w:ind w:left="640" w:right="40" w:hanging="634"/>
        <w:spacing w:after="0" w:line="310" w:lineRule="auto"/>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3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15" w:lineRule="exact"/>
        <w:rPr>
          <w:sz w:val="20"/>
          <w:szCs w:val="20"/>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15" w:lineRule="exact"/>
        <w:rPr>
          <w:rFonts w:ascii="Times New Roman" w:cs="Times New Roman" w:eastAsia="Times New Roman" w:hAnsi="Times New Roman"/>
          <w:sz w:val="18"/>
          <w:szCs w:val="18"/>
          <w:color w:val="auto"/>
        </w:rPr>
      </w:pPr>
    </w:p>
    <w:p>
      <w:pPr>
        <w:ind w:firstLine="6"/>
        <w:spacing w:after="0" w:line="27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8"/>
          <w:szCs w:val="18"/>
          <w:color w:val="auto"/>
        </w:rPr>
      </w:pPr>
    </w:p>
    <w:p>
      <w:pPr>
        <w:ind w:firstLine="6"/>
        <w:spacing w:after="0" w:line="270" w:lineRule="auto"/>
        <w:tabs>
          <w:tab w:leader="none" w:pos="4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jc w:val="both"/>
        <w:ind w:firstLine="6"/>
        <w:spacing w:after="0" w:line="257" w:lineRule="auto"/>
        <w:tabs>
          <w:tab w:leader="none" w:pos="4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firstLine="639"/>
        <w:spacing w:after="0" w:line="257" w:lineRule="auto"/>
        <w:tabs>
          <w:tab w:leader="none" w:pos="10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firstLine="639"/>
        <w:spacing w:after="0" w:line="257" w:lineRule="auto"/>
        <w:tabs>
          <w:tab w:leader="none" w:pos="11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firstLine="639"/>
        <w:spacing w:after="0" w:line="270" w:lineRule="auto"/>
        <w:tabs>
          <w:tab w:leader="none" w:pos="12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jc w:val="both"/>
        <w:ind w:firstLine="639"/>
        <w:spacing w:after="0" w:line="257" w:lineRule="auto"/>
        <w:tabs>
          <w:tab w:leader="none" w:pos="12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firstLine="6"/>
        <w:spacing w:after="0" w:line="270"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8"/>
          <w:szCs w:val="18"/>
          <w:color w:val="auto"/>
        </w:rPr>
      </w:pPr>
    </w:p>
    <w:p>
      <w:pPr>
        <w:ind w:firstLine="639"/>
        <w:spacing w:after="0" w:line="270" w:lineRule="auto"/>
        <w:tabs>
          <w:tab w:leader="none" w:pos="12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firstLine="639"/>
        <w:spacing w:after="0" w:line="270" w:lineRule="auto"/>
        <w:tabs>
          <w:tab w:leader="none" w:pos="11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10, 2017</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W.M. “RUSTY” RUSH</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W.M. “Rusty” Rush</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40"/>
          </w:cols>
          <w:pgMar w:left="240" w:top="121" w:right="6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15" w:lineRule="exact"/>
        <w:rPr>
          <w:sz w:val="20"/>
          <w:szCs w:val="20"/>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15" w:lineRule="exact"/>
        <w:rPr>
          <w:rFonts w:ascii="Times New Roman" w:cs="Times New Roman" w:eastAsia="Times New Roman" w:hAnsi="Times New Roman"/>
          <w:sz w:val="18"/>
          <w:szCs w:val="18"/>
          <w:color w:val="auto"/>
        </w:rPr>
      </w:pPr>
    </w:p>
    <w:p>
      <w:pPr>
        <w:ind w:firstLine="6"/>
        <w:spacing w:after="0" w:line="27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8"/>
          <w:szCs w:val="18"/>
          <w:color w:val="auto"/>
        </w:rPr>
      </w:pPr>
    </w:p>
    <w:p>
      <w:pPr>
        <w:ind w:firstLine="6"/>
        <w:spacing w:after="0" w:line="270" w:lineRule="auto"/>
        <w:tabs>
          <w:tab w:leader="none" w:pos="4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jc w:val="both"/>
        <w:ind w:firstLine="6"/>
        <w:spacing w:after="0" w:line="257" w:lineRule="auto"/>
        <w:tabs>
          <w:tab w:leader="none" w:pos="4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firstLine="639"/>
        <w:spacing w:after="0" w:line="257" w:lineRule="auto"/>
        <w:tabs>
          <w:tab w:leader="none" w:pos="10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firstLine="639"/>
        <w:spacing w:after="0" w:line="257" w:lineRule="auto"/>
        <w:tabs>
          <w:tab w:leader="none" w:pos="11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firstLine="639"/>
        <w:spacing w:after="0" w:line="270" w:lineRule="auto"/>
        <w:tabs>
          <w:tab w:leader="none" w:pos="12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jc w:val="both"/>
        <w:ind w:firstLine="639"/>
        <w:spacing w:after="0" w:line="257" w:lineRule="auto"/>
        <w:tabs>
          <w:tab w:leader="none" w:pos="12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firstLine="6"/>
        <w:spacing w:after="0" w:line="270"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8"/>
          <w:szCs w:val="18"/>
          <w:color w:val="auto"/>
        </w:rPr>
      </w:pPr>
    </w:p>
    <w:p>
      <w:pPr>
        <w:ind w:firstLine="639"/>
        <w:spacing w:after="0" w:line="270" w:lineRule="auto"/>
        <w:tabs>
          <w:tab w:leader="none" w:pos="12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firstLine="639"/>
        <w:spacing w:after="0" w:line="270" w:lineRule="auto"/>
        <w:tabs>
          <w:tab w:leader="none" w:pos="11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10, 2017</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L. KELLER</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L. Keller</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040"/>
          </w:cols>
          <w:pgMar w:left="240" w:top="121" w:right="619" w:bottom="1440" w:gutter="0" w:footer="0" w:header="0"/>
        </w:sectPr>
      </w:pPr>
    </w:p>
    <w:bookmarkStart w:id="30" w:name="page31"/>
    <w:bookmarkEnd w:id="30"/>
    <w:p>
      <w:pPr>
        <w:ind w:left="9660"/>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2017,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80" w:lineRule="exact"/>
        <w:rPr>
          <w:sz w:val="20"/>
          <w:szCs w:val="20"/>
          <w:color w:val="auto"/>
        </w:rPr>
      </w:pPr>
    </w:p>
    <w:p>
      <w:pPr>
        <w:ind w:left="1280" w:hanging="64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left="1280" w:hanging="641"/>
        <w:spacing w:after="0" w:line="270"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tbl>
      <w:tblPr>
        <w:tblLayout w:type="fixed"/>
        <w:tblInd w:w="5720" w:type="dxa"/>
        <w:tblCellMar>
          <w:top w:w="0" w:type="dxa"/>
          <w:left w:w="0" w:type="dxa"/>
          <w:bottom w:w="0" w:type="dxa"/>
          <w:right w:w="0" w:type="dxa"/>
        </w:tblCellMar>
      </w:tblPr>
      <w:tr>
        <w:trPr>
          <w:trHeight w:val="194"/>
        </w:trPr>
        <w:tc>
          <w:tcPr>
            <w:tcW w:w="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By:</w:t>
            </w: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w w:val="95"/>
              </w:rPr>
              <w:t>/S/ W.M. “RUSTY” RUSH</w:t>
            </w:r>
          </w:p>
        </w:tc>
        <w:tc>
          <w:tcPr>
            <w:tcW w:w="700" w:type="dxa"/>
            <w:vAlign w:val="bottom"/>
          </w:tcPr>
          <w:p>
            <w:pPr>
              <w:spacing w:after="0"/>
              <w:rPr>
                <w:sz w:val="16"/>
                <w:szCs w:val="16"/>
                <w:color w:val="auto"/>
              </w:rPr>
            </w:pPr>
          </w:p>
        </w:tc>
      </w:tr>
      <w:tr>
        <w:trPr>
          <w:trHeight w:val="212"/>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W.M. “Rusty” Rush</w:t>
            </w:r>
          </w:p>
        </w:tc>
      </w:tr>
      <w:tr>
        <w:trPr>
          <w:trHeight w:val="211"/>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Title:  President, Chief Executive Officer and</w:t>
            </w:r>
          </w:p>
        </w:tc>
      </w:tr>
      <w:tr>
        <w:trPr>
          <w:trHeight w:val="211"/>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9"/>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10, 2017</w:t>
            </w:r>
          </w:p>
        </w:tc>
      </w:tr>
    </w:tbl>
    <w:p>
      <w:pPr>
        <w:spacing w:after="0" w:line="200" w:lineRule="exact"/>
        <w:rPr>
          <w:sz w:val="20"/>
          <w:szCs w:val="20"/>
          <w:color w:val="auto"/>
        </w:rPr>
      </w:pPr>
    </w:p>
    <w:p>
      <w:pPr>
        <w:spacing w:after="0" w:line="25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1" w:right="6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2017,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280" w:hanging="641"/>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left="1280" w:hanging="641"/>
        <w:spacing w:after="0" w:line="270"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4340"/>
        <w:spacing w:after="0"/>
        <w:tabs>
          <w:tab w:leader="none" w:pos="4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Date: May 10, 2017</w:t>
      </w:r>
    </w:p>
    <w:p>
      <w:pPr>
        <w:spacing w:after="0" w:line="19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2019-12-29T05:58:47Z</dcterms:created>
  <dcterms:modified xsi:type="dcterms:W3CDTF">2019-12-29T05:58:47Z</dcterms:modified>
</cp:coreProperties>
</file>