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September 30, 2017</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320" w:firstLine="8"/>
        <w:spacing w:after="0" w:line="563" w:lineRule="auto"/>
        <w:tabs>
          <w:tab w:leader="none" w:pos="1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6860" w:type="dxa"/>
            <w:vAlign w:val="bottom"/>
          </w:tcPr>
          <w:p>
            <w:pPr>
              <w:jc w:val="center"/>
              <w:ind w:right="2530"/>
              <w:spacing w:after="0"/>
              <w:rPr>
                <w:sz w:val="20"/>
                <w:szCs w:val="20"/>
                <w:color w:val="auto"/>
              </w:rPr>
            </w:pPr>
            <w:r>
              <w:rPr>
                <w:rFonts w:ascii="Arial" w:cs="Arial" w:eastAsia="Arial" w:hAnsi="Arial"/>
                <w:sz w:val="18"/>
                <w:szCs w:val="18"/>
                <w:color w:val="auto"/>
                <w:w w:val="92"/>
              </w:rPr>
              <w:t>Commission File Number 0-20797</w:t>
            </w:r>
          </w:p>
        </w:tc>
      </w:tr>
      <w:tr>
        <w:trPr>
          <w:trHeight w:val="418"/>
        </w:trPr>
        <w:tc>
          <w:tcPr>
            <w:tcW w:w="2380" w:type="dxa"/>
            <w:vAlign w:val="bottom"/>
          </w:tcPr>
          <w:p>
            <w:pPr>
              <w:spacing w:after="0"/>
              <w:rPr>
                <w:sz w:val="24"/>
                <w:szCs w:val="24"/>
                <w:color w:val="auto"/>
              </w:rPr>
            </w:pPr>
          </w:p>
        </w:tc>
        <w:tc>
          <w:tcPr>
            <w:tcW w:w="6860" w:type="dxa"/>
            <w:vAlign w:val="bottom"/>
          </w:tcPr>
          <w:p>
            <w:pPr>
              <w:jc w:val="center"/>
              <w:ind w:right="255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380" w:type="dxa"/>
            <w:vAlign w:val="bottom"/>
          </w:tcPr>
          <w:p>
            <w:pPr>
              <w:spacing w:after="0"/>
              <w:rPr>
                <w:sz w:val="20"/>
                <w:szCs w:val="20"/>
                <w:color w:val="auto"/>
              </w:rPr>
            </w:pPr>
          </w:p>
        </w:tc>
        <w:tc>
          <w:tcPr>
            <w:tcW w:w="6860" w:type="dxa"/>
            <w:vAlign w:val="bottom"/>
          </w:tcPr>
          <w:p>
            <w:pPr>
              <w:jc w:val="center"/>
              <w:ind w:right="25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380" w:type="dxa"/>
            <w:vAlign w:val="bottom"/>
          </w:tcPr>
          <w:p>
            <w:pPr>
              <w:jc w:val="center"/>
              <w:ind w:right="110"/>
              <w:spacing w:after="0"/>
              <w:rPr>
                <w:sz w:val="20"/>
                <w:szCs w:val="20"/>
                <w:color w:val="auto"/>
              </w:rPr>
            </w:pPr>
            <w:r>
              <w:rPr>
                <w:rFonts w:ascii="Arial" w:cs="Arial" w:eastAsia="Arial" w:hAnsi="Arial"/>
                <w:sz w:val="18"/>
                <w:szCs w:val="18"/>
                <w:color w:val="auto"/>
                <w:w w:val="85"/>
              </w:rPr>
              <w:t>Texas</w:t>
            </w:r>
          </w:p>
        </w:tc>
        <w:tc>
          <w:tcPr>
            <w:tcW w:w="6860" w:type="dxa"/>
            <w:vAlign w:val="bottom"/>
          </w:tcPr>
          <w:p>
            <w:pPr>
              <w:jc w:val="right"/>
              <w:ind w:right="790"/>
              <w:spacing w:after="0"/>
              <w:rPr>
                <w:sz w:val="20"/>
                <w:szCs w:val="20"/>
                <w:color w:val="auto"/>
              </w:rPr>
            </w:pPr>
            <w:r>
              <w:rPr>
                <w:rFonts w:ascii="Arial" w:cs="Arial" w:eastAsia="Arial" w:hAnsi="Arial"/>
                <w:sz w:val="18"/>
                <w:szCs w:val="18"/>
                <w:color w:val="auto"/>
              </w:rPr>
              <w:t>74-1733016</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6860" w:type="dxa"/>
            <w:vAlign w:val="bottom"/>
          </w:tcPr>
          <w:p>
            <w:pPr>
              <w:jc w:val="center"/>
              <w:ind w:left="41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68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6860" w:type="dxa"/>
            <w:vAlign w:val="bottom"/>
          </w:tcPr>
          <w:p>
            <w:pPr>
              <w:jc w:val="center"/>
              <w:ind w:right="255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380" w:type="dxa"/>
            <w:vAlign w:val="bottom"/>
          </w:tcPr>
          <w:p>
            <w:pPr>
              <w:spacing w:after="0"/>
              <w:rPr>
                <w:sz w:val="18"/>
                <w:szCs w:val="18"/>
                <w:color w:val="auto"/>
              </w:rPr>
            </w:pPr>
          </w:p>
        </w:tc>
        <w:tc>
          <w:tcPr>
            <w:tcW w:w="6860" w:type="dxa"/>
            <w:vAlign w:val="bottom"/>
          </w:tcPr>
          <w:p>
            <w:pPr>
              <w:jc w:val="center"/>
              <w:ind w:right="253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380" w:type="dxa"/>
            <w:vAlign w:val="bottom"/>
          </w:tcPr>
          <w:p>
            <w:pPr>
              <w:spacing w:after="0"/>
              <w:rPr>
                <w:sz w:val="18"/>
                <w:szCs w:val="18"/>
                <w:color w:val="auto"/>
              </w:rPr>
            </w:pPr>
          </w:p>
        </w:tc>
        <w:tc>
          <w:tcPr>
            <w:tcW w:w="6860" w:type="dxa"/>
            <w:vAlign w:val="bottom"/>
          </w:tcPr>
          <w:p>
            <w:pPr>
              <w:jc w:val="center"/>
              <w:ind w:right="255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380" w:type="dxa"/>
            <w:vAlign w:val="bottom"/>
          </w:tcPr>
          <w:p>
            <w:pPr>
              <w:spacing w:after="0"/>
              <w:rPr>
                <w:sz w:val="20"/>
                <w:szCs w:val="20"/>
                <w:color w:val="auto"/>
              </w:rPr>
            </w:pPr>
          </w:p>
        </w:tc>
        <w:tc>
          <w:tcPr>
            <w:tcW w:w="6860" w:type="dxa"/>
            <w:vAlign w:val="bottom"/>
          </w:tcPr>
          <w:p>
            <w:pPr>
              <w:jc w:val="center"/>
              <w:ind w:right="2530"/>
              <w:spacing w:after="0"/>
              <w:rPr>
                <w:sz w:val="20"/>
                <w:szCs w:val="20"/>
                <w:color w:val="auto"/>
              </w:rPr>
            </w:pPr>
            <w:r>
              <w:rPr>
                <w:rFonts w:ascii="Arial" w:cs="Arial" w:eastAsia="Arial" w:hAnsi="Arial"/>
                <w:sz w:val="18"/>
                <w:szCs w:val="18"/>
                <w:color w:val="auto"/>
                <w:w w:val="94"/>
              </w:rPr>
              <w:t>(Zip Code)</w:t>
            </w:r>
          </w:p>
        </w:tc>
      </w:tr>
      <w:tr>
        <w:trPr>
          <w:trHeight w:val="418"/>
        </w:trPr>
        <w:tc>
          <w:tcPr>
            <w:tcW w:w="2380" w:type="dxa"/>
            <w:vAlign w:val="bottom"/>
          </w:tcPr>
          <w:p>
            <w:pPr>
              <w:spacing w:after="0"/>
              <w:rPr>
                <w:sz w:val="24"/>
                <w:szCs w:val="24"/>
                <w:color w:val="auto"/>
              </w:rPr>
            </w:pPr>
          </w:p>
        </w:tc>
        <w:tc>
          <w:tcPr>
            <w:tcW w:w="6860" w:type="dxa"/>
            <w:vAlign w:val="bottom"/>
          </w:tcPr>
          <w:p>
            <w:pPr>
              <w:jc w:val="center"/>
              <w:ind w:right="2530"/>
              <w:spacing w:after="0"/>
              <w:rPr>
                <w:sz w:val="20"/>
                <w:szCs w:val="20"/>
                <w:color w:val="auto"/>
              </w:rPr>
            </w:pPr>
            <w:r>
              <w:rPr>
                <w:rFonts w:ascii="Arial" w:cs="Arial" w:eastAsia="Arial" w:hAnsi="Arial"/>
                <w:sz w:val="18"/>
                <w:szCs w:val="18"/>
                <w:color w:val="auto"/>
                <w:w w:val="90"/>
              </w:rPr>
              <w:t>(830) 302-5200</w:t>
            </w:r>
          </w:p>
        </w:tc>
      </w:tr>
      <w:tr>
        <w:trPr>
          <w:trHeight w:val="230"/>
        </w:trPr>
        <w:tc>
          <w:tcPr>
            <w:tcW w:w="2380" w:type="dxa"/>
            <w:vAlign w:val="bottom"/>
          </w:tcPr>
          <w:p>
            <w:pPr>
              <w:spacing w:after="0"/>
              <w:rPr>
                <w:sz w:val="20"/>
                <w:szCs w:val="20"/>
                <w:color w:val="auto"/>
              </w:rPr>
            </w:pPr>
          </w:p>
        </w:tc>
        <w:tc>
          <w:tcPr>
            <w:tcW w:w="6860" w:type="dxa"/>
            <w:vAlign w:val="bottom"/>
          </w:tcPr>
          <w:p>
            <w:pPr>
              <w:jc w:val="center"/>
              <w:ind w:right="255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2"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500" w:type="dxa"/>
        <w:tblCellMar>
          <w:top w:w="0" w:type="dxa"/>
          <w:left w:w="0" w:type="dxa"/>
          <w:bottom w:w="0" w:type="dxa"/>
          <w:right w:w="0" w:type="dxa"/>
        </w:tblCellMar>
      </w:tblPr>
      <w:tr>
        <w:trPr>
          <w:trHeight w:val="283"/>
        </w:trPr>
        <w:tc>
          <w:tcPr>
            <w:tcW w:w="45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420" w:type="dxa"/>
            <w:vAlign w:val="bottom"/>
          </w:tcPr>
          <w:p>
            <w:pPr>
              <w:ind w:left="12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8"/>
        </w:trPr>
        <w:tc>
          <w:tcPr>
            <w:tcW w:w="45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420" w:type="dxa"/>
            <w:vAlign w:val="bottom"/>
          </w:tcPr>
          <w:p>
            <w:pPr>
              <w:ind w:left="124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420" w:type="dxa"/>
            <w:vAlign w:val="bottom"/>
            <w:vMerge w:val="restart"/>
          </w:tcPr>
          <w:p>
            <w:pPr>
              <w:ind w:left="124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6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November 1, 2017.</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00" w:type="dxa"/>
            <w:vAlign w:val="bottom"/>
            <w:gridSpan w:val="2"/>
          </w:tcPr>
          <w:p>
            <w:pPr>
              <w:jc w:val="center"/>
              <w:ind w:right="2720"/>
              <w:spacing w:after="0"/>
              <w:rPr>
                <w:sz w:val="20"/>
                <w:szCs w:val="20"/>
                <w:color w:val="auto"/>
              </w:rPr>
            </w:pPr>
            <w:r>
              <w:rPr>
                <w:rFonts w:ascii="Arial" w:cs="Arial" w:eastAsia="Arial" w:hAnsi="Arial"/>
                <w:sz w:val="18"/>
                <w:szCs w:val="18"/>
                <w:color w:val="auto"/>
                <w:w w:val="95"/>
              </w:rPr>
              <w:t>Number of</w:t>
            </w: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600" w:type="dxa"/>
            <w:vAlign w:val="bottom"/>
            <w:gridSpan w:val="2"/>
          </w:tcPr>
          <w:p>
            <w:pPr>
              <w:jc w:val="center"/>
              <w:ind w:right="2720"/>
              <w:spacing w:after="0"/>
              <w:rPr>
                <w:sz w:val="20"/>
                <w:szCs w:val="20"/>
                <w:color w:val="auto"/>
              </w:rPr>
            </w:pPr>
            <w:r>
              <w:rPr>
                <w:rFonts w:ascii="Arial" w:cs="Arial" w:eastAsia="Arial" w:hAnsi="Arial"/>
                <w:sz w:val="18"/>
                <w:szCs w:val="18"/>
                <w:color w:val="auto"/>
                <w:w w:val="84"/>
              </w:rPr>
              <w:t>Shares</w:t>
            </w:r>
          </w:p>
        </w:tc>
      </w:tr>
      <w:tr>
        <w:trPr>
          <w:trHeight w:val="190"/>
        </w:trPr>
        <w:tc>
          <w:tcPr>
            <w:tcW w:w="1460" w:type="dxa"/>
            <w:vAlign w:val="bottom"/>
          </w:tcPr>
          <w:p>
            <w:pPr>
              <w:spacing w:after="0"/>
              <w:rPr>
                <w:sz w:val="16"/>
                <w:szCs w:val="16"/>
                <w:color w:val="auto"/>
              </w:rPr>
            </w:pPr>
          </w:p>
        </w:tc>
        <w:tc>
          <w:tcPr>
            <w:tcW w:w="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Title of Class</w:t>
            </w:r>
          </w:p>
        </w:tc>
        <w:tc>
          <w:tcPr>
            <w:tcW w:w="538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Outstanding</w:t>
            </w:r>
          </w:p>
        </w:tc>
        <w:tc>
          <w:tcPr>
            <w:tcW w:w="2720" w:type="dxa"/>
            <w:vAlign w:val="bottom"/>
          </w:tcPr>
          <w:p>
            <w:pPr>
              <w:spacing w:after="0"/>
              <w:rPr>
                <w:sz w:val="16"/>
                <w:szCs w:val="16"/>
                <w:color w:val="auto"/>
              </w:rPr>
            </w:pPr>
          </w:p>
        </w:tc>
      </w:tr>
      <w:tr>
        <w:trPr>
          <w:trHeight w:val="222"/>
        </w:trPr>
        <w:tc>
          <w:tcPr>
            <w:tcW w:w="7820" w:type="dxa"/>
            <w:vAlign w:val="bottom"/>
            <w:gridSpan w:val="3"/>
          </w:tcPr>
          <w:p>
            <w:pPr>
              <w:ind w:left="660"/>
              <w:spacing w:after="0"/>
              <w:rPr>
                <w:sz w:val="20"/>
                <w:szCs w:val="20"/>
                <w:color w:val="auto"/>
              </w:rPr>
            </w:pPr>
            <w:r>
              <w:rPr>
                <w:rFonts w:ascii="Arial" w:cs="Arial" w:eastAsia="Arial" w:hAnsi="Arial"/>
                <w:sz w:val="18"/>
                <w:szCs w:val="18"/>
                <w:color w:val="auto"/>
              </w:rPr>
              <w:t>Class A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31,259,965</w:t>
            </w:r>
          </w:p>
        </w:tc>
        <w:tc>
          <w:tcPr>
            <w:tcW w:w="2720" w:type="dxa"/>
            <w:vAlign w:val="bottom"/>
          </w:tcPr>
          <w:p>
            <w:pPr>
              <w:spacing w:after="0"/>
              <w:rPr>
                <w:sz w:val="19"/>
                <w:szCs w:val="19"/>
                <w:color w:val="auto"/>
              </w:rPr>
            </w:pPr>
          </w:p>
        </w:tc>
      </w:tr>
      <w:tr>
        <w:trPr>
          <w:trHeight w:val="230"/>
        </w:trPr>
        <w:tc>
          <w:tcPr>
            <w:tcW w:w="7820" w:type="dxa"/>
            <w:vAlign w:val="bottom"/>
            <w:gridSpan w:val="3"/>
          </w:tcPr>
          <w:p>
            <w:pPr>
              <w:ind w:left="660"/>
              <w:spacing w:after="0"/>
              <w:rPr>
                <w:sz w:val="20"/>
                <w:szCs w:val="20"/>
                <w:color w:val="auto"/>
              </w:rPr>
            </w:pPr>
            <w:r>
              <w:rPr>
                <w:rFonts w:ascii="Arial" w:cs="Arial" w:eastAsia="Arial" w:hAnsi="Arial"/>
                <w:sz w:val="18"/>
                <w:szCs w:val="18"/>
                <w:color w:val="auto"/>
              </w:rPr>
              <w:t>Class B Common Stock, $.01 Par Value</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8,575,658</w:t>
            </w:r>
          </w:p>
        </w:tc>
        <w:tc>
          <w:tcPr>
            <w:tcW w:w="2720" w:type="dxa"/>
            <w:vAlign w:val="bottom"/>
          </w:tcPr>
          <w:p>
            <w:pPr>
              <w:spacing w:after="0"/>
              <w:rPr>
                <w:sz w:val="20"/>
                <w:szCs w:val="20"/>
                <w:color w:val="auto"/>
              </w:rPr>
            </w:pPr>
          </w:p>
        </w:tc>
      </w:tr>
      <w:tr>
        <w:trPr>
          <w:trHeight w:val="574"/>
        </w:trPr>
        <w:tc>
          <w:tcPr>
            <w:tcW w:w="1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20" w:type="dxa"/>
            <w:vAlign w:val="bottom"/>
            <w:gridSpan w:val="7"/>
          </w:tcPr>
          <w:p>
            <w:pPr>
              <w:ind w:left="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24"/>
        </w:trPr>
        <w:tc>
          <w:tcPr>
            <w:tcW w:w="308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40" w:type="dxa"/>
            <w:vAlign w:val="bottom"/>
            <w:gridSpan w:val="11"/>
          </w:tcPr>
          <w:p>
            <w:pPr>
              <w:spacing w:after="0"/>
              <w:rPr>
                <w:sz w:val="24"/>
                <w:szCs w:val="24"/>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Page</w:t>
            </w:r>
          </w:p>
        </w:tc>
      </w:tr>
      <w:tr>
        <w:trPr>
          <w:trHeight w:val="412"/>
        </w:trPr>
        <w:tc>
          <w:tcPr>
            <w:tcW w:w="1380" w:type="dxa"/>
            <w:vAlign w:val="bottom"/>
            <w:tcBorders>
              <w:top w:val="single" w:sz="8" w:color="0000EE"/>
            </w:tcBorders>
            <w:gridSpan w:val="2"/>
          </w:tcPr>
          <w:p>
            <w:pPr>
              <w:ind w:left="50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80" w:type="dxa"/>
            <w:vAlign w:val="bottom"/>
            <w:tcBorders>
              <w:top w:val="single" w:sz="8" w:color="0000EE"/>
            </w:tcBorders>
          </w:tcPr>
          <w:p>
            <w:pPr>
              <w:spacing w:after="0"/>
              <w:rPr>
                <w:sz w:val="24"/>
                <w:szCs w:val="24"/>
                <w:color w:val="auto"/>
              </w:rPr>
            </w:pPr>
          </w:p>
        </w:tc>
        <w:tc>
          <w:tcPr>
            <w:tcW w:w="774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September 30, 2017 (unaudited) and December 31, 2016</w:t>
              </w:r>
            </w:hyperlink>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 For the Three and Nine Months Ended September 30, 2017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2016 (unaudited)</w:t>
              </w:r>
            </w:hyperlink>
          </w:p>
        </w:tc>
        <w:tc>
          <w:tcPr>
            <w:tcW w:w="4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Nine Months Ended September 30, 2017 and 2016 (unaudited)</w:t>
              </w:r>
            </w:hyperlink>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0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1340" w:type="dxa"/>
            <w:vAlign w:val="bottom"/>
            <w:gridSpan w:val="2"/>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2.</w:t>
            </w:r>
          </w:p>
        </w:tc>
        <w:tc>
          <w:tcPr>
            <w:tcW w:w="944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80" w:type="dxa"/>
            <w:vAlign w:val="bottom"/>
            <w:gridSpan w:val="3"/>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25</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Controls and Procedures</w:t>
              </w:r>
            </w:hyperlink>
          </w:p>
        </w:tc>
        <w:tc>
          <w:tcPr>
            <w:tcW w:w="7620" w:type="dxa"/>
            <w:vAlign w:val="bottom"/>
            <w:gridSpan w:val="9"/>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4"/>
                <w:szCs w:val="24"/>
                <w:color w:val="auto"/>
              </w:rPr>
            </w:pPr>
          </w:p>
        </w:tc>
      </w:tr>
      <w:tr>
        <w:trPr>
          <w:trHeight w:val="844"/>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804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100" w:type="dxa"/>
            <w:vAlign w:val="bottom"/>
            <w:gridSpan w:val="15"/>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8520" w:type="dxa"/>
            <w:vAlign w:val="bottom"/>
            <w:gridSpan w:val="17"/>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080" w:type="dxa"/>
            <w:vAlign w:val="bottom"/>
            <w:gridSpan w:val="6"/>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3.</w:t>
            </w:r>
          </w:p>
        </w:tc>
        <w:tc>
          <w:tcPr>
            <w:tcW w:w="94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120" w:type="dxa"/>
            <w:vAlign w:val="bottom"/>
            <w:gridSpan w:val="8"/>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Other Information</w:t>
              </w:r>
            </w:hyperlink>
          </w:p>
        </w:tc>
        <w:tc>
          <w:tcPr>
            <w:tcW w:w="8080" w:type="dxa"/>
            <w:vAlign w:val="bottom"/>
            <w:gridSpan w:val="14"/>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rPr>
                <w:sz w:val="24"/>
                <w:szCs w:val="24"/>
                <w:color w:val="auto"/>
              </w:rPr>
            </w:pPr>
          </w:p>
        </w:tc>
      </w:tr>
      <w:tr>
        <w:trPr>
          <w:trHeight w:val="412"/>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Item 6.</w:t>
            </w:r>
          </w:p>
        </w:tc>
        <w:tc>
          <w:tcPr>
            <w:tcW w:w="94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rPr>
                <w:sz w:val="24"/>
                <w:szCs w:val="24"/>
                <w:color w:val="auto"/>
              </w:rPr>
            </w:pPr>
          </w:p>
        </w:tc>
      </w:tr>
      <w:tr>
        <w:trPr>
          <w:trHeight w:val="412"/>
        </w:trPr>
        <w:tc>
          <w:tcPr>
            <w:tcW w:w="138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6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4"/>
                <w:szCs w:val="24"/>
                <w:color w:val="auto"/>
              </w:rPr>
            </w:pPr>
          </w:p>
        </w:tc>
      </w:tr>
      <w:tr>
        <w:trPr>
          <w:trHeight w:val="480"/>
        </w:trPr>
        <w:tc>
          <w:tcPr>
            <w:tcW w:w="11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15"/>
          </w:tcPr>
          <w:p>
            <w:pPr>
              <w:ind w:left="4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127,915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960,962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1,274,372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2,758,990</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706,995</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directly associated with assets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111,100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95,022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1,094,082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2017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89"/>
              </w:rPr>
              <w:t>authorized; 31,183,787 Class A shares and 8,606,623 Class B shares outstanding in 2017; and 30,007,088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Class A shares and 9,245,447 Class B shares outstanding in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1"/>
              </w:rPr>
              <w:t>Treasury stock, at cost: 934,171 class A shares and 4,487,985 class B shares in 2017 and 934,171 class 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shares and 3,650,491 class B shares in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(114,270)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2,758,990</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819,028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698,838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2,230,969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375,835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52,452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158,922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3,505,779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653,992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2,061,135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237,452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214,916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693,910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1,037,411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914,725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2,888,752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2,648,279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159,281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142,280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469,037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39,825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39,617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40,274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40,698</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040" w:type="dxa"/>
            <w:vAlign w:val="bottom"/>
            <w:gridSpan w:val="10"/>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66,262</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117,054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Loss on impairment of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8,609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expense from stock-based compensation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Change in accounts receivable,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inventories,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Change in prepaid expenses and other,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trade accounts payable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Draws (payments) on floor plan notes payable – 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26,439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customer deposits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Change in accrued expenses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170,275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(138,756)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(129,695)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(154,870)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Draws (payments) on floor plan notes payable – non-trade,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33,611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(108,526)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w w:val="93"/>
              </w:rPr>
              <w:t>Proceeds from issuance of shares relating to employee stock options and employee stock purchases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20,096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expense from stock-based compensation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(27,388)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(205,038)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82,026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127,915</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24,952</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74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30,487</w:t>
            </w:r>
          </w:p>
        </w:tc>
        <w:tc>
          <w:tcPr>
            <w:tcW w:w="5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capital leases</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8,243</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2016.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Assets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total capitalized costs of the Company’s SAP enterprise software and SAP dealership management system of $30.5 million, including capitalized interest, are recorded on the Consolidated Balance Sheet in Other Assets, net of accumulated amortization of $19.1 million, at September 30, 2017. The SAP software is being amortized over a period of 15 years.</w:t>
      </w:r>
    </w:p>
    <w:p>
      <w:pPr>
        <w:spacing w:after="0" w:line="181"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Amortization expense relating to the SAP software, which is recognized in depreciation and amortization expense in the Consolidated Statement of Income and Comprehensive Income, was $0.9 million for the three months ended September 30, 2017 and $0.9 million for the three months ended September 30, 2016; it was $2.6 million for the nine months ended September 30, 2017 and $2.5 million for the nine months ended September 30, 2016. The Company currently estimates that amortization expense relating to the SAP software will be approximately $3.4 million for each of the next five years.</w:t>
      </w:r>
    </w:p>
    <w:p>
      <w:pPr>
        <w:spacing w:after="0" w:line="188" w:lineRule="exact"/>
        <w:rPr>
          <w:sz w:val="20"/>
          <w:szCs w:val="20"/>
          <w:color w:val="auto"/>
        </w:rPr>
      </w:pPr>
    </w:p>
    <w:p>
      <w:pPr>
        <w:jc w:val="both"/>
        <w:ind w:right="80"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both September 30, 2017 and December 31, 2016,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Due to the fact that manufacturer franchise rights are specific to a geographic region, the Company has determined that evaluating and including all locations acquired in the geographic region is the appropriate level for the purpose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 within a particular region.</w:t>
      </w:r>
    </w:p>
    <w:p>
      <w:pPr>
        <w:spacing w:after="0" w:line="173"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impairment write down of manufacturer franchise rights was required in any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w w:val="95"/>
              </w:rPr>
              <w:t>Numerator for basic and diluted earnings per share – Net income available to</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29,784</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14,880</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66,262</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28,092</w:t>
            </w:r>
          </w:p>
        </w:tc>
        <w:tc>
          <w:tcPr>
            <w:tcW w:w="0" w:type="dxa"/>
            <w:vAlign w:val="bottom"/>
          </w:tcPr>
          <w:p>
            <w:pPr>
              <w:spacing w:after="0"/>
              <w:rPr>
                <w:sz w:val="1"/>
                <w:szCs w:val="1"/>
                <w:color w:val="auto"/>
              </w:rPr>
            </w:pPr>
          </w:p>
        </w:tc>
      </w:tr>
      <w:tr>
        <w:trPr>
          <w:trHeight w:val="217"/>
        </w:trPr>
        <w:tc>
          <w:tcPr>
            <w:tcW w:w="60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66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39,825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39,617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40,138</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Effect of dilutive securities– Employee and director stock options and restricted</w:t>
            </w: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 awards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tcPr>
          <w:p>
            <w:pPr>
              <w:ind w:left="340"/>
              <w:spacing w:after="0" w:line="195" w:lineRule="exact"/>
              <w:rPr>
                <w:sz w:val="20"/>
                <w:szCs w:val="20"/>
                <w:color w:val="auto"/>
              </w:rPr>
            </w:pPr>
            <w:r>
              <w:rPr>
                <w:rFonts w:ascii="Arial" w:cs="Arial" w:eastAsia="Arial" w:hAnsi="Arial"/>
                <w:sz w:val="18"/>
                <w:szCs w:val="18"/>
                <w:color w:val="auto"/>
                <w:w w:val="99"/>
              </w:rPr>
              <w:t>Denominator for diluted earnings per share – adjusted weighted average</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41,146</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40,274</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40,830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40,698</w:t>
            </w:r>
          </w:p>
        </w:tc>
        <w:tc>
          <w:tcPr>
            <w:tcW w:w="0" w:type="dxa"/>
            <w:vAlign w:val="bottom"/>
          </w:tcPr>
          <w:p>
            <w:pPr>
              <w:spacing w:after="0"/>
              <w:rPr>
                <w:sz w:val="1"/>
                <w:szCs w:val="1"/>
                <w:color w:val="auto"/>
              </w:rPr>
            </w:pPr>
          </w:p>
        </w:tc>
      </w:tr>
      <w:tr>
        <w:trPr>
          <w:trHeight w:val="190"/>
        </w:trPr>
        <w:tc>
          <w:tcPr>
            <w:tcW w:w="6080" w:type="dxa"/>
            <w:vAlign w:val="bottom"/>
          </w:tcPr>
          <w:p>
            <w:pPr>
              <w:ind w:left="50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50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.37</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1.62</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nine months ended September 30, 2017 and 2016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18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Three Months 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color w:val="auto"/>
                <w:w w:val="88"/>
              </w:rPr>
              <w:t>September 30,</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8"/>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18"/>
                <w:szCs w:val="18"/>
                <w:color w:val="auto"/>
              </w:rPr>
            </w:pPr>
          </w:p>
        </w:tc>
      </w:tr>
      <w:tr>
        <w:trPr>
          <w:trHeight w:val="210"/>
        </w:trPr>
        <w:tc>
          <w:tcPr>
            <w:tcW w:w="6080" w:type="dxa"/>
            <w:vAlign w:val="bottom"/>
            <w:gridSpan w:val="2"/>
            <w:shd w:val="clear" w:color="auto" w:fill="CCEEFF"/>
          </w:tcPr>
          <w:p>
            <w:pPr>
              <w:jc w:val="right"/>
              <w:ind w:right="3210"/>
              <w:spacing w:after="0"/>
              <w:rPr>
                <w:sz w:val="20"/>
                <w:szCs w:val="20"/>
                <w:color w:val="auto"/>
              </w:rPr>
            </w:pPr>
            <w:r>
              <w:rPr>
                <w:rFonts w:ascii="Arial" w:cs="Arial" w:eastAsia="Arial" w:hAnsi="Arial"/>
                <w:sz w:val="18"/>
                <w:szCs w:val="18"/>
                <w:color w:val="auto"/>
                <w:w w:val="90"/>
              </w:rPr>
              <w:t>Weighted average anti-dilutive options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2,287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w:t>
      </w:r>
    </w:p>
    <w:p>
      <w:pPr>
        <w:spacing w:after="0" w:line="35" w:lineRule="exact"/>
        <w:rPr>
          <w:sz w:val="20"/>
          <w:szCs w:val="20"/>
          <w:color w:val="auto"/>
        </w:rPr>
      </w:pPr>
    </w:p>
    <w:p>
      <w:pPr>
        <w:jc w:val="both"/>
        <w:ind w:right="400"/>
        <w:spacing w:after="0" w:line="252" w:lineRule="auto"/>
        <w:rPr>
          <w:sz w:val="20"/>
          <w:szCs w:val="20"/>
          <w:color w:val="auto"/>
        </w:rPr>
      </w:pPr>
      <w:r>
        <w:rPr>
          <w:rFonts w:ascii="Arial" w:cs="Arial" w:eastAsia="Arial" w:hAnsi="Arial"/>
          <w:sz w:val="18"/>
          <w:szCs w:val="18"/>
          <w:color w:val="auto"/>
        </w:rPr>
        <w:t>– Stock Compensation,” which requires the measurement and recognition of compensation expense for all share-based payment awards made to our employees and directors, including employee stock options, restricted stock unit awards and employee stock purchases related to the Company’s employee stock purchase plan based on estimated fair values. The Company adopted Accounting Standards Update (“ASU”) No.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on January 1, 2017. The Company recorded excess tax benefits of $1.9 million in the three months ended September 30, 2017 and $3.9 million in the nine months ended September 30, 2017, which was recorded in the Consolidated Statements of Income and Comprehensive Income.</w:t>
      </w:r>
    </w:p>
    <w:p>
      <w:pPr>
        <w:spacing w:after="0" w:line="194" w:lineRule="exact"/>
        <w:rPr>
          <w:sz w:val="20"/>
          <w:szCs w:val="20"/>
          <w:color w:val="auto"/>
        </w:rPr>
      </w:pPr>
    </w:p>
    <w:p>
      <w:pPr>
        <w:jc w:val="both"/>
        <w:ind w:right="380" w:firstLine="648"/>
        <w:spacing w:after="0" w:line="293" w:lineRule="auto"/>
        <w:rPr>
          <w:sz w:val="20"/>
          <w:szCs w:val="20"/>
          <w:color w:val="auto"/>
        </w:rPr>
      </w:pPr>
      <w:r>
        <w:rPr>
          <w:rFonts w:ascii="Arial" w:cs="Arial" w:eastAsia="Arial" w:hAnsi="Arial"/>
          <w:sz w:val="16"/>
          <w:szCs w:val="16"/>
          <w:color w:val="auto"/>
        </w:rPr>
        <w:t>Stock-based compensation expense, calculated using the Black-Scholes option-pricing model for employee stock options, and included in selling, general and administrative expense, was $3.4 million for the three months ended September 30, 2017, and $2.7 million for the three months ended September 30, 2016. Stock-based compensation expense for the nine months ended September 30, 2017, was $12.0 million and for the nine months ended September 30, 2016, was $9.4 million. As of September 30, 2017, the Company had $9.0 million of unrecognized compensation expense related to non-vested employee stock options to be recognized over a weighted-average period of 3.0 years and $7.6 million of unrecognized compensation cost related to non-vested restricted stock units to be recognized over a weighted-average period of 1.7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 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September 30, 2017, and December 31, 2016. The carrying value of current assets and current liabilities approximates the fair value due to the short maturity of these items.</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 and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2017, the Company held auction rate securities with underlying tax-exempt municipal bonds that mature in 2030 and have a fair value and a cost basis of $6.4 million. As of December 31, 2016, the tax-exempt municipal bonds had a fair value of $6.2 million and a cost basis of $6.7 million. The issuer redeemed $150,000 of the auction rate securities during 2014, $275,000 during 2015, $450,000 during 2016 and $325,000 during the second quarter of 2017. These bonds have credit wrap insurance and a credit rating of A by a major credit rating agency.</w:t>
      </w:r>
    </w:p>
    <w:p>
      <w:pPr>
        <w:spacing w:after="0" w:line="1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color w:val="auto"/>
        </w:rPr>
        <w:t>The Company valued the auction rate securities at September 30, 2017,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a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subsequent pre-tax increases in fair value of $427,000 during 2014 and $469,000 during the second quarter of 2017. The Company believes that the impairment is temporary and had included the impairment in accumulated other comprehensive loss.</w:t>
      </w:r>
    </w:p>
    <w:p>
      <w:pPr>
        <w:spacing w:after="0" w:line="181"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320"/>
          </w:cols>
          <w:pgMar w:left="240" w:top="118" w:right="339" w:bottom="1440" w:gutter="0" w:footer="0" w:header="0"/>
        </w:sectPr>
      </w:pPr>
    </w:p>
    <w:p>
      <w:pPr>
        <w:spacing w:after="0" w:line="19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At September 30, 2017</w:t>
      </w:r>
    </w:p>
    <w:p>
      <w:pPr>
        <w:spacing w:after="0" w:line="27" w:lineRule="exact"/>
        <w:rPr>
          <w:sz w:val="20"/>
          <w:szCs w:val="20"/>
          <w:color w:val="auto"/>
        </w:rPr>
      </w:pPr>
    </w:p>
    <w:tbl>
      <w:tblPr>
        <w:tblLayout w:type="fixed"/>
        <w:tblInd w:w="3660" w:type="dxa"/>
        <w:tblCellMar>
          <w:top w:w="0" w:type="dxa"/>
          <w:left w:w="0" w:type="dxa"/>
          <w:bottom w:w="0" w:type="dxa"/>
          <w:right w:w="0" w:type="dxa"/>
        </w:tblCellMar>
      </w:tblPr>
      <w:tr>
        <w:trPr>
          <w:trHeight w:val="191"/>
        </w:trPr>
        <w:tc>
          <w:tcPr>
            <w:tcW w:w="11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Level 2</w:t>
            </w:r>
          </w:p>
        </w:tc>
        <w:tc>
          <w:tcPr>
            <w:tcW w:w="118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Level 3</w:t>
            </w:r>
          </w:p>
        </w:tc>
      </w:tr>
      <w:tr>
        <w:trPr>
          <w:trHeight w:val="234"/>
        </w:trPr>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At 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Level 1</w:t>
            </w:r>
          </w:p>
        </w:tc>
        <w:tc>
          <w:tcPr>
            <w:tcW w:w="12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20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p>
    <w:p>
      <w:pPr>
        <w:sectPr>
          <w:pgSz w:w="11900" w:h="16838" w:orient="portrait"/>
          <w:cols w:equalWidth="0" w:num="2">
            <w:col w:w="7320" w:space="220"/>
            <w:col w:w="3780"/>
          </w:cols>
          <w:pgMar w:left="240" w:top="118" w:right="3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Investment in auction rate securities</w:t>
            </w:r>
          </w:p>
        </w:tc>
        <w:tc>
          <w:tcPr>
            <w:tcW w:w="8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0"/>
              <w:spacing w:after="0" w:line="189" w:lineRule="exact"/>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6,375</w:t>
            </w:r>
          </w:p>
        </w:tc>
        <w:tc>
          <w:tcPr>
            <w:tcW w:w="4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Loss In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5"/>
              </w:rPr>
              <w:t>Cost Basis</w:t>
            </w:r>
          </w:p>
        </w:tc>
        <w:tc>
          <w:tcPr>
            <w:tcW w:w="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OCI</w:t>
            </w:r>
          </w:p>
        </w:tc>
        <w:tc>
          <w:tcPr>
            <w:tcW w:w="120" w:type="dxa"/>
            <w:vAlign w:val="bottom"/>
          </w:tcPr>
          <w:p>
            <w:pPr>
              <w:spacing w:after="0"/>
              <w:rPr>
                <w:sz w:val="20"/>
                <w:szCs w:val="20"/>
                <w:color w:val="auto"/>
              </w:rPr>
            </w:pPr>
          </w:p>
        </w:tc>
        <w:tc>
          <w:tcPr>
            <w:tcW w:w="1500" w:type="dxa"/>
            <w:vAlign w:val="bottom"/>
            <w:gridSpan w:val="3"/>
          </w:tcPr>
          <w:p>
            <w:pPr>
              <w:ind w:left="2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8"/>
              </w:rPr>
              <w:t>Investment in auction rate securities</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6,375</w:t>
            </w:r>
          </w:p>
        </w:tc>
        <w:tc>
          <w:tcPr>
            <w:tcW w:w="8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 in auction rate securities</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6,700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The Company recorded an impairment charge related to the value of the real estate in the affected locations and excess real estate in the amount of $7.1 million in the quarter ended March 31, 2016 and $0.4 million in the quarter ended June 30, 2016.</w:t>
      </w:r>
    </w:p>
    <w:p>
      <w:pPr>
        <w:spacing w:after="0" w:line="181"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The fair value measurements for the Company’s long-lived assets are based on Level 3 inputs. Fair values were based on evaluations by a third-party real estate broker that utilized its knowledge and historical experience in real estate markets and transactions.</w:t>
      </w:r>
    </w:p>
    <w:p>
      <w:pPr>
        <w:spacing w:after="0" w:line="170"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During 2016, the Company sold four properties with a fair value of $6.1 million. During the first quarter of 2017, the Company sold one property with a fair value of $1.0 million and during the second quarter of 2017, the Company sold two properties with a collective fair value of $1.2 million. During the third quarter of 2017, the Company made the decision to put one of the properties previously classified as “held for sale” with a fair value of $1.4 million back into service. The Company is actively marketing the remaining real estate held for sale.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4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8"/>
              </w:rPr>
              <w:t>Measurements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Using</w:t>
            </w:r>
          </w:p>
        </w:tc>
        <w:tc>
          <w:tcPr>
            <w:tcW w:w="2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0"/>
              </w:rPr>
              <w:t>Loss</w:t>
            </w: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2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during the</w:t>
            </w:r>
          </w:p>
        </w:tc>
        <w:tc>
          <w:tcPr>
            <w:tcW w:w="2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during the</w:t>
            </w: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during the</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during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Unobservable</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20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Nine Months</w:t>
            </w: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26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4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98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1440" w:gutter="0" w:footer="0" w:header="0"/>
          <w:type w:val="continuous"/>
        </w:sectPr>
      </w:pP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further discussion of assets held for sale, see Note 10 – Restructuring Costs of the Notes to Consolidated Financial Statements. The losses in the above table were reported in selling, general and administrative expenses in the Consolidated Statements of Income and Comprehensive Income and were reported under the Truck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our dealerships, when making decisions about resources to be allocated to the segment and assessing its performance.</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September 30, 2017, and 2016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Truck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Segment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All Other</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Totals</w:t>
            </w:r>
          </w:p>
        </w:tc>
      </w:tr>
      <w:tr>
        <w:trPr>
          <w:trHeight w:val="210"/>
        </w:trPr>
        <w:tc>
          <w:tcPr>
            <w:tcW w:w="4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As of and for the three months ended September 30, 2017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1,253,429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1,257,459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45,590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45,335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2,721,463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37,527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2,758,990</w:t>
            </w:r>
          </w:p>
        </w:tc>
      </w:tr>
      <w:tr>
        <w:trPr>
          <w:trHeight w:val="216"/>
        </w:trPr>
        <w:tc>
          <w:tcPr>
            <w:tcW w:w="4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3,493,984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3,505,779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102,599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101,976</w:t>
            </w:r>
          </w:p>
        </w:tc>
      </w:tr>
      <w:tr>
        <w:trPr>
          <w:trHeight w:val="216"/>
        </w:trPr>
        <w:tc>
          <w:tcPr>
            <w:tcW w:w="4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i w:val="1"/>
                <w:iCs w:val="1"/>
                <w:color w:val="auto"/>
                <w:w w:val="99"/>
              </w:rPr>
              <w:t>As of and for the three months ended September 30, 2016</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1,092,005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1,096,041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Segment assets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2,662,872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32,623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2,695,495</w:t>
            </w:r>
          </w:p>
        </w:tc>
      </w:tr>
      <w:tr>
        <w:trPr>
          <w:trHeight w:val="216"/>
        </w:trPr>
        <w:tc>
          <w:tcPr>
            <w:tcW w:w="4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2016</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3,181,842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11,501</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3,193,343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$2.4 million as a component of accrued liabilities at September 30, 2017 and December 31, 2016,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$145,000 accrued for the payment of interest at September 30, 2017 and December 31, 2016.</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2017, the tax years ended December 31, 2013 through 2016, remain subject to audit by federal tax authorities and the tax years ended December 31, 2012 through 2016, remain subject to audit by state tax authorities.</w:t>
      </w:r>
    </w:p>
    <w:p>
      <w:pPr>
        <w:sectPr>
          <w:pgSz w:w="11900" w:h="16838" w:orient="portrait"/>
          <w:cols w:equalWidth="0" w:num="1">
            <w:col w:w="11080"/>
          </w:cols>
          <w:pgMar w:left="240" w:top="118" w:right="579" w:bottom="1440" w:gutter="0" w:footer="0" w:header="0"/>
        </w:sectPr>
      </w:pP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the Financial Accounting Standards Board (“FASB”) issued ASU No.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w:t>
      </w:r>
      <w:r>
        <w:rPr>
          <w:rFonts w:ascii="Arial" w:cs="Arial" w:eastAsia="Arial" w:hAnsi="Arial"/>
          <w:sz w:val="16"/>
          <w:szCs w:val="16"/>
          <w:color w:val="auto"/>
        </w:rPr>
        <w:t>” which changed the accounting for certain aspects of share-based payments to employees. The Company adopted the new standard on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new guidance requires excess tax benefits and tax deficiencies to be recognized as income tax benefit or expense in the income statement and presented as an operating activity in the statement of cash flows when the awards are vested or are settled. The Company recorded excess tax benefits of $1.9 million for the three months ended September 30, 2017, and $3.9 million for the nine months ended September 30, 2017, which was recorded as a reduction to income tax expense in the Consolidated Statement of Income and Comprehensive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9 – Accumulated Other Comprehensive Income (Loss)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8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tables show the components of accumulated other comprehensive loss, net of tax (in thousands):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8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Available for Sale</w:t>
            </w:r>
          </w:p>
        </w:tc>
      </w:tr>
      <w:tr>
        <w:trPr>
          <w:trHeight w:val="230"/>
        </w:trPr>
        <w:tc>
          <w:tcPr>
            <w:tcW w:w="18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Securities</w:t>
            </w:r>
          </w:p>
        </w:tc>
        <w:tc>
          <w:tcPr>
            <w:tcW w:w="80" w:type="dxa"/>
            <w:vAlign w:val="bottom"/>
          </w:tcPr>
          <w:p>
            <w:pPr>
              <w:spacing w:after="0"/>
              <w:rPr>
                <w:sz w:val="20"/>
                <w:szCs w:val="20"/>
                <w:color w:val="auto"/>
              </w:rPr>
            </w:pPr>
          </w:p>
        </w:tc>
      </w:tr>
      <w:tr>
        <w:trPr>
          <w:trHeight w:val="210"/>
        </w:trPr>
        <w:tc>
          <w:tcPr>
            <w:tcW w:w="18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r>
      <w:tr>
        <w:trPr>
          <w:trHeight w:val="216"/>
        </w:trPr>
        <w:tc>
          <w:tcPr>
            <w:tcW w:w="18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r>
      <w:tr>
        <w:trPr>
          <w:trHeight w:val="250"/>
        </w:trPr>
        <w:tc>
          <w:tcPr>
            <w:tcW w:w="180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98"/>
        </w:trPr>
        <w:tc>
          <w:tcPr>
            <w:tcW w:w="18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Available for Sale</w:t>
            </w:r>
          </w:p>
        </w:tc>
      </w:tr>
      <w:tr>
        <w:trPr>
          <w:trHeight w:val="230"/>
        </w:trPr>
        <w:tc>
          <w:tcPr>
            <w:tcW w:w="18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Securities</w:t>
            </w:r>
          </w:p>
        </w:tc>
        <w:tc>
          <w:tcPr>
            <w:tcW w:w="80" w:type="dxa"/>
            <w:vAlign w:val="bottom"/>
          </w:tcPr>
          <w:p>
            <w:pPr>
              <w:spacing w:after="0"/>
              <w:rPr>
                <w:sz w:val="20"/>
                <w:szCs w:val="20"/>
                <w:color w:val="auto"/>
              </w:rPr>
            </w:pPr>
          </w:p>
        </w:tc>
      </w:tr>
      <w:tr>
        <w:trPr>
          <w:trHeight w:val="210"/>
        </w:trPr>
        <w:tc>
          <w:tcPr>
            <w:tcW w:w="180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180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30"/>
        </w:trPr>
        <w:tc>
          <w:tcPr>
            <w:tcW w:w="180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r>
      <w:tr>
        <w:trPr>
          <w:trHeight w:val="20"/>
        </w:trPr>
        <w:tc>
          <w:tcPr>
            <w:tcW w:w="180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10 – Restructuring Costs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quarter ended March 31, 2016, the Company instituted plans to consolidate its dealership network and incurred pre-tax expenses of approximately $8.1 million related to restructuring activities. The restructuring costs included $2.7 million associated with impairment charges to certain fixed assets and the value of the real estate underlying the affected locations, which was reported in selling, general and administrative expenses in the Consolidated Statements of Income and Comprehensive Income for the nine months ended September 30, 2016.</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Company classified certain excess real estate as held for sale, which resulted in an impairment charge of $5.0 million, which was reported in selling, general and administrative expenses in the Consolidated Statements of Income and Comprehensive Income for the nine months ended September 30, 2016.</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2016, the Company sold four of the properties previously classified as held for sale with a fair value of $6.1 million. During the first quarter of 2017, the Company sold one of the properties with a fair value of $1.0 million and during the second quarter of 2017, the Company sold two of the properties with a collective fair value of $1.2 million. During the third quarter of 2017, the Company made the decision to put one of the properties previously classified as “held for sale” with a fair value of $1.4 million back into service. As of September 30, 2017, the remaining real estate associated with the restructuring activities is included in assets held for sale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New Accounting Pronouncements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2016, the FASB issued ASU No. 2016-09, which changed the accounting for certain aspects of share-based payments to employees. The Company adopted the new standard on January 1, 2017. The new guidance requires excess tax benefits and tax deficiencies to be recorded in the income statement when the awards vest or are settled. The Company recorded excess tax benefits of $1.9 million in the three months ended September 30, 2017 and $3.9 million in the nine months ended September 30, 2017, which was recorded in the Consolidated Statements of Income and Comprehensive Income.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Company did not elect to make an accounting policy change to recognize forfeitures as they occur and will continue to estimate forfeitures. The Company adopted the amendments related to ASU 2016-09 prospectively and prior periods have not been adjusted.</w:t>
      </w:r>
    </w:p>
    <w:p>
      <w:pPr>
        <w:spacing w:after="0" w:line="1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The new standard is effective for public companies for fiscal years beginning after December 15, 2018, and interim periods within those years, with early adoption permitted. The Company is currently evaluating the effect that adopting this standard will have on our financial statements and related disclosures. The Company will adopt ASU 2016-02 on January 1, 2019.</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amended the accounting standards for revenue recognition. ASU 2014-09 is based on principles that govern the recognition of revenue at an amount an entity expects to be entitled to when products are transferred to customers. ASU 2014-09 will be effective for the Company beginning in its first quarter of 2018, and early adoption is permitted. The ASU provides two transition methods: (i) retrospectively to each prior reporting period presented; or (ii) modified retrospectively with the cumulative effect of initially applying this ASU recognized at the date of initial application.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2016, the Company established a cross-functional team with representatives from its major revenue streams to review its current accounting policies and practices, assess the effect of the standard on our revenue contracts and identify potential differences. The Company’s internal implementation team has substantially completed its initial review of the likely impacts that the application of the amendments in this ASU will have on its consolidated financial statements. The Company’s revenues are primarily generated from the sale of finished products to customers. Those sales predominantly contain a single delivery element and revenue for such sales is recognized when the customer obtains control. The team has initially identified the Company’s material revenue streams to be the sale of new and used commercial vehicles; arrangement of associated commercial vehicle financing and insurance contracts; the performance of commercial vehicle repair services; and the sale of commercial vehicle parts. The Company’s implementation team is in the preliminary stages of evaluating the additional disclosure requirements of the ASU, as well as the change, if any, to the Company’s underlying accounting and financial reporting systems and processes necessary to support the recognition and disclosure requirements. The Company expects to identify and implement the necessary changes, if any, during 2017. At this time, based on this review, the Company does not expect the adoption to materially impact its consolidated financial statements. The Company will adopt ASU 2014-09 on January 1, 2018 and will use the modified retrospective method.</w:t>
      </w:r>
    </w:p>
    <w:p>
      <w:pPr>
        <w:spacing w:after="0" w:line="18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2016,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i w:val="1"/>
          <w:iCs w:val="1"/>
          <w:color w:val="auto"/>
        </w:rPr>
        <w:t>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i w:val="1"/>
          <w:iCs w:val="1"/>
          <w:color w:val="auto"/>
        </w:rPr>
        <w:t>Ford Motor Company. SAP</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is a registered trademark of SAP Aktiengesellschaft. IBM</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170"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2016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nine months ended September 30, 2017 and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6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80" w:type="dxa"/>
            <w:vAlign w:val="bottom"/>
          </w:tcPr>
          <w:p>
            <w:pPr>
              <w:spacing w:after="0"/>
              <w:rPr>
                <w:sz w:val="20"/>
                <w:szCs w:val="20"/>
                <w:color w:val="auto"/>
              </w:rPr>
            </w:pPr>
          </w:p>
        </w:tc>
        <w:tc>
          <w:tcPr>
            <w:tcW w:w="26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5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5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80" w:type="dxa"/>
            <w:vAlign w:val="bottom"/>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r>
      <w:tr>
        <w:trPr>
          <w:trHeight w:val="20"/>
        </w:trPr>
        <w:tc>
          <w:tcPr>
            <w:tcW w:w="5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55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6"/>
          </w:tcPr>
          <w:p>
            <w:pPr>
              <w:ind w:left="660"/>
              <w:spacing w:after="0"/>
              <w:rPr>
                <w:sz w:val="20"/>
                <w:szCs w:val="20"/>
                <w:color w:val="auto"/>
              </w:rPr>
            </w:pPr>
            <w:r>
              <w:rPr>
                <w:rFonts w:ascii="Arial" w:cs="Arial" w:eastAsia="Arial" w:hAnsi="Arial"/>
                <w:sz w:val="18"/>
                <w:szCs w:val="18"/>
                <w:color w:val="auto"/>
                <w:w w:val="92"/>
              </w:rPr>
              <w:t>The following table sets forth for the periods indicated the percent of gross profit by revenue source:</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5160" w:type="dxa"/>
            <w:vAlign w:val="bottom"/>
            <w:tcBorders>
              <w:top w:val="single" w:sz="8" w:color="CCEEFF"/>
            </w:tcBorders>
          </w:tcPr>
          <w:p>
            <w:pPr>
              <w:ind w:left="4960"/>
              <w:spacing w:after="0"/>
              <w:rPr>
                <w:sz w:val="20"/>
                <w:szCs w:val="20"/>
                <w:color w:val="auto"/>
              </w:rPr>
            </w:pPr>
            <w:r>
              <w:rPr>
                <w:rFonts w:ascii="Arial" w:cs="Arial" w:eastAsia="Arial" w:hAnsi="Arial"/>
                <w:sz w:val="18"/>
                <w:szCs w:val="18"/>
                <w:color w:val="auto"/>
                <w:w w:val="89"/>
              </w:rPr>
              <w:t>16</w:t>
            </w: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5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118" w:right="17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our absorption ratio (revenue in millions):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Three Months Ended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3,647</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9,705</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1,267</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Total new vehicle unit 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Used vehicles</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1,795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5,197</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Vehicle revenues: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New heavy-duty vehicles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New medium-duty vehicles</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210.7</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613.2</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New light-duty vehicles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260" w:type="dxa"/>
            <w:vAlign w:val="bottom"/>
          </w:tcPr>
          <w:p>
            <w:pPr>
              <w:ind w:left="160"/>
              <w:spacing w:after="0"/>
              <w:rPr>
                <w:sz w:val="20"/>
                <w:szCs w:val="20"/>
                <w:color w:val="auto"/>
              </w:rPr>
            </w:pPr>
            <w:r>
              <w:rPr>
                <w:rFonts w:ascii="Arial" w:cs="Arial" w:eastAsia="Arial" w:hAnsi="Arial"/>
                <w:sz w:val="18"/>
                <w:szCs w:val="18"/>
                <w:color w:val="auto"/>
                <w:w w:val="99"/>
              </w:rPr>
              <w:t>Total new vehicle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742.1</w:t>
            </w:r>
          </w:p>
        </w:tc>
        <w:tc>
          <w:tcPr>
            <w:tcW w:w="2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618.8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2,006.2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1,769.0</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2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w w:val="98"/>
              </w:rPr>
              <w:t>Other vehicle revenues:</w:t>
            </w:r>
            <w:r>
              <w:rPr>
                <w:rFonts w:ascii="Arial" w:cs="Arial" w:eastAsia="Arial" w:hAnsi="Arial"/>
                <w:sz w:val="29"/>
                <w:szCs w:val="29"/>
                <w:color w:val="auto"/>
                <w:w w:val="98"/>
                <w:vertAlign w:val="superscript"/>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ratio:</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bl>
    <w:p>
      <w:pPr>
        <w:ind w:left="82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60" w:firstLine="648"/>
        <w:spacing w:after="0" w:line="271" w:lineRule="auto"/>
        <w:rPr>
          <w:sz w:val="20"/>
          <w:szCs w:val="20"/>
          <w:color w:val="auto"/>
        </w:rPr>
      </w:pPr>
      <w:r>
        <w:rPr>
          <w:rFonts w:ascii="Arial" w:cs="Arial" w:eastAsia="Arial" w:hAnsi="Arial"/>
          <w:sz w:val="17"/>
          <w:szCs w:val="17"/>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120.9% absorption ratio for the third quarter of 2017 compared to a 112.6% absorption ratio for the third quarter of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Three Months Ended September 30, 2016</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growth in Aftermarket Products and Services revenues in the third quarter was primarily the result of strong general economic conditions and our successful execution of certain strategic initiatives. We expect Aftermarket Products and Services revenues to remain solid during the remainder of 2017, despite the seasonal decline we typically experience during the fourth quarter of the year. We remain focused on our long-term plans and strategic initiatives, which include expanding our all-makes parts and service business.</w:t>
      </w:r>
    </w:p>
    <w:p>
      <w:pPr>
        <w:spacing w:after="0" w:line="18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Class 8 new truck sales were strong during the third quarter of 2017 primarily due to increased activity from customers in the energy industry. Additionally, commercial vehicle sales activity remains solid in construction, refuse, over-the-road freight and the majority of the other industries we support around the country. Used commercial vehicle inventory valuations have stabilized, and we believe that our used commercial vehicle inventory is priced appropriately to support market dynamics and new commercial vehicle sales. We believe our Class 8 and medium-duty new commercial vehicle sales will remain strong in the fourth quarter and into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$161.4 million, or 14.7%, in the third quarter of 2017, compared to the third quarter of 2016.</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Aftermarket Products and Services revenues increased $39.4 million, or 11.7%, in the third quarter of 2017, compared to the third quarter of 2016, primarily as a result of the factors described above. We expect our Aftermarket Products and Services revenues to remain strong in the fourth quarter of 2017.</w:t>
      </w:r>
    </w:p>
    <w:p>
      <w:pPr>
        <w:sectPr>
          <w:pgSz w:w="11900" w:h="16838" w:orient="portrait"/>
          <w:cols w:equalWidth="0" w:num="1">
            <w:col w:w="11080"/>
          </w:cols>
          <w:pgMar w:left="240" w:top="118" w:right="579" w:bottom="1440" w:gutter="0" w:footer="0" w:header="0"/>
        </w:sectPr>
      </w:pP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$120.2 million, or 17.2%, in the third quarter of 2017, compared to the third quarter of 2016, primarily as a result of the factors described above.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sold 3,647 heavy-duty trucks in the third quarter of 2017, a 20.6% increase compared to 3,024 heavy-duty trucks sold in the third quarter of 2016. According to A.C.T. Research Co., LLC (“A.C.T. Research”), a commercial vehicle industry data and forecasting service provider, the U.S. Class 8 truck market increased 11.2% in the third quarter of 2017 compared to the third quarter of 2016. A.C.T. Research currently forecasts U.S. retail sales of Class 8 trucks of approximately 190,000 units in 2017, 218,000 units in 2018, and 226,000 units in 2019, compared to approximately 197,000 units in 2016. Our share of the U.S. Class 8 truck sales market was approximately 5.5% in 2016. We expect our U.S. Class 8 truck sales market share to range between 6.5% and 7.0% in 2017. This market share percentage would result in the sale of approximately 12,400 to 13,300 Class 8 trucks in 2017 based on A.C.T. Research’s current U.S. retail sales estimate of 190,000 units.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2,828 medium-duty commercial vehicles, including 466 buses, in the third quarter of 2017, a 14.5% increase compared to 2,469 medium-duty commercial vehicles, including 416 buses, in the third quarter of 2016. A.C.T. Research estimates that unit sales of Class 4 through 7 commercial vehicles in the U.S. increased approximately 9.0% in the third quarter of 2017, compared to the third quarter of 2016. A.C.T. Research currently forecasts U.S. retail sales of Class 4 through 7 commercial vehicles of approximately 238,500 units in 2017, 242,000 units in 2018, and 249,000 in 2019. In 2016, we achieved a 4.9% share of the U.S. Class 4 through 7 commercial vehicle market. We expect our market share to range between 4.5% and 5.0% of the U.S. Class 4 through 7 commercial vehicle sales in 2017. This market share percentage would result in the sale of approximately 10,700 to 11,900 of Class 4 through 7 commercial vehicles in 2017 based on A.C.T. Research’s current U.S. retail sales estimates of 238,500 units.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447 light-duty vehicles in the third quarter of 2017, a 14.5% decrease compared to 523 light-duty vehicles sold in the third quarter of 2016. We expect to sell approximately 1,700 light-duty vehicles in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1,743 used commercial vehicles in the third quarter of 2017, a 2.9% decrease compared to 1,795 used commercial vehicles in the third quarter of 2016. We expect to sell approximately 6,200 to 7,000 used commercial vehicles in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$2.2 million, or 4.2%, in the third quarter of 2017, compared to the third quarter of 2016. We expect lease and rental revenues to increase between 3.0% and 6.0% during 2017, compared to 2016.</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decreased 2.0% in the third quarter of 2017, compared to the third quarter of 2016. Traditionally, finance and insurance revenues fluctuate proportionately with our new and used commercial vehicle sales. However, in 2017 a significant portion of our sales have been to large fleet customers who do not finance trucks through us or our network of lenders. Finance and insurance revenues have limited direct costs and, therefore, contribute a disproportionate share to our operating profits.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Gross profit increased $38.7 million, or 21.4%, in the third quarter of 2017, compared to the third quarter of 2016. Gross profit as a percentage of sales increased to 17.5% in the third quarter of 2017, from 16.5% in the third quarter of 2016. This increase in gross profit as a percentage of sales is a result of increased gross margins in our Aftermarket Products and Services business, commercial vehicle sales and truck lease and rental sales.</w:t>
      </w:r>
    </w:p>
    <w:p>
      <w:pPr>
        <w:spacing w:after="0" w:line="147"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Gross margins from our Aftermarket Products and Services operations increased to 36.8% in the third quarter of 2017, from 36.1% in the third quarter of 2016. Gross profit for the Aftermarket Products and Services departments increased to $138.4 million in the third quarter of 2017, from $121.5 million in the third quarter of 2016. Historically, gross margins on parts sales range from 27% to 28% and gross margins on service and body shop operations range from 67% to 68%. Gross profits from parts sales represented 57% of total gross profit for Aftermarket Products and Services operations in the third quarter of 2017 and 56% in the third quarter of 2016. Service and body shop operations represented 43% of total gross profit for Aftermarket Products and Services operations in the third quarter of 2017 and 44% in the third quarter of 2016. We expect blended gross margins on Aftermarket Products and Services operations to range from 36.3% to 36.5% during 2017.</w:t>
      </w:r>
    </w:p>
    <w:p>
      <w:pPr>
        <w:spacing w:after="0" w:line="17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Gross margins on Class 8 truck sales increased to 7.8% in the third quarter of 2017, from 6.9% in the third quarter of 2016. This increase is attributable to the sales mix in the third quarter of 2017, which consisted of increased sales to vocational customers that are traditionally associated with higher margins. In 2017, we expect overall gross margins from Class 8 truck sales of approximately 7.5% to 8.0%.</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Gross margins on medium-duty commercial vehicle sales decreased to 5.4% in the third quarter of 2017, from 6.7% in the third quarter of 2016. This decrease is attributable to the mix of products sold during the third quarter of 2017. For 2017, we expect overall gross margins from medium-duty commercial vehicle sales of approximately 5.5% to 6.0%, but this will largely depend upon the mix of purchasers and types of vehicles sold.</w:t>
      </w:r>
    </w:p>
    <w:p>
      <w:pPr>
        <w:spacing w:after="0" w:line="14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increased to 11.9% in the third quarter of 2017, from 4.8% in the third quarter of 2016. This increase is primarily related to the stabilization of used truck values in recent months. We expect margins on used commercial vehicles to range between 9.5% and 10.5% during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margins from truck lease and rental sales increased to 17.3% in the third quarter of 2017, from 12.6% in the third quarter of 2016. This increase is primarily related to increased rental fleet utilization and improvement in the performance of our full service leases. We expect gross margins from lease and rental sales of approximately 15.5% to 16.5% during 2017.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(“SG&amp;A”) expenses increased $17.0 million, or 11.9%, in the third quarter of 2017, compared to the third quarter of 2016. In the third quarter of 2017, SG&amp;A expenses equaled 12.7% of total revenue.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2017, we expect SG&amp;A expenses as a percentage of total revenues to range from 13.4% to 14.2% and the selling portion of SG&amp;A expenses to be approximately 25.0% to 30.0% of new and used commercial vehicle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$0.6 million, or 4.4%, in the third quarter of 2017, compared to the third quarter of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interest expense decreased $0.2 million, or 5.6%, in the third quarter of 2017, compared to the third quarter of 2016. Net interest expense in 2017 will depend on inventory levels and the amount of cash available to make prepayments on our floor plan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$21.0 million, or 86.5%, in the third quarter of 2017, compared to the third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Income taxes increased $6.1 million, or 65.0%, in the third quarter of 2017, compared to the third quarter of 2016, as a result of the factors described above. ASU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requires excess tax benefits and tax deficiencies to be recorded in the income statement when equity awards issued pursuant to our equity compensation plans vest or are settled. We recorded a $1.9 million tax benefit in the third quarter of 2017, which reduced income tax expense. We provided for taxes at a 38.75% effective rate in the third quarter of 2017 and the third quarter of 2016. We expect our effective tax rate to be approximately 38.5% to 39.0% of pretax income in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to Nine Months Ended September 30, 2016</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Unless otherwise stated below, our variance explanations and future expectations with regard to the items discussed in this section are set forth in the discussion of the Three Months Ended September 30, 2017, Compared to Three Months Ended September 30, 2016.</w:t>
      </w:r>
    </w:p>
    <w:p>
      <w:pPr>
        <w:spacing w:after="0" w:line="14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$312.4 million, or 9.8%, in the first nine months of 2017, compared to the first nine months of 2016.</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Aftermarket Products and Services revenues increased $85.5 million, or 8.5%, in the first nine months of 2017, compared to the first nine months of 2016.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$226.7 million, or 11.3%, in the first nine months of 2017, compared to the first nine months of 2016.</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sold 9,705 heavy-duty trucks during the first nine months of 2017, a 17.0% increase compared to 8,295 heavy-duty trucks in the first nine months of 2016. According to A.C.T. Research, U.S. Class 8 truck sales decreased 9.5% in the first nine months of 2017, compared to the first nine months of 2016.</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sold 8,454 medium-duty commercial vehicles, including 827 buses, during the first nine months of 2017, a 1.2% decrease compared to 8,554 medium-duty commercial vehicles, including 849 buses, in the first nine months of 2016. A.C.T. Research estimates that unit sales of Class 4 through 7 commercial vehicles, including buses, in the U.S increased approximately 5.2% in the first nine months of 2017, compared to the first nine months of 2016.</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1,267 light-duty commercial vehicles during the first nine months of 2017, a 2.2% decrease compared to 1,296 light-duty commercial vehicles in the first nine months of 2016.</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sold 5,197 used commercial vehicles during the first nine months of 2017, a 1.6% decrease compared to 5,280 used commercial vehicles in the first nine months of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Truck lease and rental revenues increased $3.4 million, or 2.2%, in the first nine months of 2017, compared to the first nine months of 2016.</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decreased $1.1 million, or 7.8%, in the first nine months of 2017, compared to the first nine months of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$72.0 million, or 13.2%, in the first nine months of 2017, compared to the first nine months of 2016. Gross profit as a percentage of sales increased to 17.6% in the first nine months of 2017, from 17.1% in the first nine months of 2016.</w:t>
      </w:r>
    </w:p>
    <w:p>
      <w:pPr>
        <w:spacing w:after="0" w:line="170"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Gross margins from our Aftermarket Products and Services operations increased to 36.5% in the first nine months of 2017, from 36.2% in the first nine months of 2016. Gross profit for the Aftermarket Products and Services departments was $398.6 million in the first nine months of 2017, compared to $364.4 million in the first nine months of 2016. Gross profits from parts sales represented 57% of total gross profit for Aftermarket Products and Services operations in the first nine months of 2017 and 56% in the first nine months of 2016. Service and body shop operations represented 43% of total gross profit for Aftermarket Products and Services operations in the first nine months of 2017 and 44% in the first nine months of 2016.</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Class 8 truck sales increased to 8.0% in the first nine months of 2017, from 7.0% in the first nine months of 2016.</w:t>
      </w:r>
    </w:p>
    <w:p>
      <w:pPr>
        <w:spacing w:after="0" w:line="23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medium-duty commercial vehicle sales decreased to 5.9% in the first nine months of 2017, from 6.1% in the first nine months of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used commercial vehicle sales increased to 10.7% in the first nine months of 2017, from 8.0% in the first nine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from truck lease and rental sales increased to 15.9% in the first nine months of 2017, from 12.1% in the first nine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SG&amp;A expenses increased $18.2 million, or 4.0%, in the first nine months of 2017, compared to the first nine months of 2016. SG&amp;A expenses as a percentage of sales were 13.4% in the first nine months of 2017, and 14.1% in the first nine months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$1.1 million, or 2.9%, in the first nine months of 2017, compared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$2.6 million, or 22.8%, in the first nine months of 2017, compared to the first nine months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before income taxes increased $55.9 million, or 121.4%, in the first nine months of 2017, compared to the first nine months of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taxes increased $17.8 million, or 98.8% in the first nine months of 2017, compared to the first nine months of 2016. We provided for taxes at a 38.75% rate in the first nine months of 2017, compared to a rate of 39.0% in the first nine months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2017, we had working capital of approximately $180.3 million, including $127.9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September 30, 2017, however, $11.9 million was pledged to secure various letters of credit related to self-insurance products, leaving $5.6 million available for future borrowings as of September 30, 2017.</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March 21, 2017, we entered into a working capital facility with BMO Harris (the “Working Capital Facility”). The Working Capital Facility includes up to $100 million of revolving credit loans to the Company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bears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(as defined in the Floor Plan Working Capital Facility) or otherwise. There were no advances outstanding under the Working Capital Facility as of September 30, 2017.</w:t>
      </w:r>
    </w:p>
    <w:p>
      <w:pPr>
        <w:spacing w:after="0" w:line="19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September 30, 2017,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expect to purchase or lease trucks worth approximately $150.0 million to $175.0 million for our leasing operations during 2017, depending on customer demand, all of which will be financed. We also expect to make capital expenditures for recurring items such as computers, shop tools and equipment and vehicles of approximately $20.0 million to $25.0 million during 2017.</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30, 2016, we announced that our Board of Directors authorized the repurchase, from time to time, of up to an aggregate of $40.0 million shares of Class A Common Stock and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30, 2017, and may be suspended or discontinued at any time. Through September 30, 2017, we had purchased $30.9 million under this stock repurchase program.</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September 30, 2017.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increased by $45.9 million during the nine months ended September 30, 2017, and decreased by $26.9 million during the nine months ended September 30, 2016.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nine months of 2017, operating activities resulted in net cash provided by operations of $170.3 million. Net cash provided by operating activities primarily consisted of $66.3 million in net income, as well as non-cash adjustments related to depreciation and amortization of $117.1 million, stock-based compensation of $12.0 million and $8.6 million of deferred income tax. Cash provided by operating activities included an aggregate of $33.3 million net change in operating assets and liabilities. Included in the net change in operating assets and liabilities were cash inflows of $23.5 million from increases in accounts payable and accrued liabilities, $4.6 million from an increase in customer deposits and $26.4 million from the net increase in floor plan, trade, which were offset by cash outflows of $87.8 million from increases in inventory. The majority of commercial vehicle inventory is financed through our floor plan credit agreements.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nine months of 2016, operating activities resulted in net cash provided by operations of $386.8 million. Net cash provided by operating activities primarily consisted of $28.1 million in net income, as well as non-cash adjustments related to depreciation and amortization of $118.1 million, impairment of assets of $8.2 million, and stock-based compensation, including tax benefit, of $10.2 million. Cash provided by operating activities included an aggregate of $220.3 million net change in operating assets and liabilities. Included in the net change in operating assets and liabilities were primarily cash inflows of $8.6 million from the decrease in accounts receivable, $199.2 million from reductions in inventory levels, $24.2 million from the decrease in other assets, net, which were offset by cash outflows of $4.5 million from decreases in accounts payable and accrued liabilities, and $6.6 million from a decrease in customer deposits. The majority of commercial vehicle inventory is financed through our floor plan credit agreements.</w:t>
      </w:r>
    </w:p>
    <w:p>
      <w:pPr>
        <w:spacing w:after="0" w:line="192"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September 30, 2017, the interest rate on the wholesale financing agreement was 5.25% before considering the applicable incentives. As of September 30, 2017, we had an outstanding balance of approximately $88.8 million under the Ford Motor Credit Company wholesale financing agreement.</w:t>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nine months of 2017, cash used in investing activities was $129.7 million. Cash flows used in investing activities consists primarily of cash used for capital expenditures. Capital expenditures totaled $138.8 million during the first nine months of 2017 and consisted primarily of purchases of property and equipment and improvements to our existing dealership facilities. Property and equipment purchases during the first nine months of 2017 included $103.6 million for additional units for the rental and leasing operations, which were directly offset by borrowings of long-term debt. We expect to purchase or lease trucks worth approximately $150.0 million to $175.0 million for our rental and leasing operations in 2017, depending on customer demand, all of which will be financed. During 2017, we expect to make capital expenditures for recurring items such as computers, shop equipment and vehicles of $20.0 million to $25.0 million.</w:t>
      </w:r>
    </w:p>
    <w:p>
      <w:pPr>
        <w:spacing w:after="0" w:line="18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During the first nine months of 2016, cash used in investing activities was $154.9 million. Capital expenditures of $159.5 million during the first nine months of 2016 consisted primarily of purchases of property and equipment and improvements to our existing dealership facilities. Property and equipment purchases during the first nine months of 2016 included $106.3 million for additional units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 non-trade. During the first nine months of 2017, we generated $5.3 million in net cash from financing activities, primarily related to $33.6 million from net draws on floor plan notes payable, non-trade, borrowings of $97.3 million of long-term debt and $20.1 million from the issuance of shares related to equity compensation plans. These cash inflows were partially offset by $117.8 million for principal repayments of long-term debt and capital lease obligations and $27.4 million to purchase 837,494 shares of Rush Class B common stock. The borrowings of long-term debt were primarily related to purchasing units for the rental and leasing operations.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first nine months of 2016, we used $205.0 million in net cash from financing activities, primarily related to $142.2 million from net payments on floor plan notes payable, non-trade, $136.8 million for principal repayments of long-term debt and capital lease obligations and $33.3 million to purchase 934,171 shares of Rush Class A Common Stock and 657,567 shares of Rush Class B common stock. These cash outflows were partially offset by borrowings of $103.2 million of long-term debt, and $4.8 million from the issuance of shares related to equity compensation plans. The borrowings of long-term debt were primarily related to purchasing units for the rental and leasing operations.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We financed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2.0% of the aggregate revolving loan commitments if such termination occurs on or before January 1, 2018; (ii) 1.0% of the aggregate revolving loan commitments if such termination occurs after January 1, 2018 and on or prior to July 1, 2018; and (iii) $500,000 if such termination occurs after July 1, 2018 and prior to June 30, 2019, subject to specified limited exceptions. On September 30, 2017, we had approximately $578.8 million outstanding under the Floor Plan Credit Agreement. The average daily outstanding borrowings under the Floor Plan Credit Agreement were $532.8 million during the nine months ended September 30, 2017.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30, 2017, our backlog of commercial vehicle orders was approximately $1,005.8 million, compared to a backlog of commercial vehicle orders of approximately $836.4 million on September 30, 2016.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2017 and we expect to fill the majority of our backlog orders during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291,000 in 2006.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Products and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ectPr>
          <w:pgSz w:w="11900" w:h="16838" w:orient="portrait"/>
          <w:cols w:equalWidth="0" w:num="1">
            <w:col w:w="11060"/>
          </w:cols>
          <w:pgMar w:left="240" w:top="118" w:right="599" w:bottom="1440" w:gutter="0" w:footer="0" w:header="0"/>
        </w:sectPr>
      </w:pP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On August 16, 2016, the EPA and NHTSA issued final rules that largely adopted their June 19, 2015 proposal. We do not believe that the foregoing adopted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some market risk through interest rates related to our floor plan financing agreements, the Working Capital Facility, variable rate real estate debt and discount rates related to finance sales. The majority of floor plan debt and variable rate real estate debt is based on LIBOR. As of September 30, 2017, we had floor plan borrowings and variable interest rate real estate debt of approximately $806.1 million. Assuming an increase or decrease in LIBOR of 100 basis points, annual interest expense could correspondingly increase or decrease by approximately $8.1 million.</w:t>
      </w:r>
    </w:p>
    <w:p>
      <w:pPr>
        <w:spacing w:after="0" w:line="15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September 30, 2017, we hold auction rate securities, with underlying tax-exempt municipal bonds that mature in 2030, that have a fair value of $6.4 million. Given the current market conditions in the auction rate securities market, if we determine that the fair value of these securities temporarily decreases by an additional 10%, our equity could correspondingly decrease by approximately $640,000. If it is determined that the fair value of these securities is other-than-temporarily impaired by 10%, we could record a loss on our Consolidated Statements of Income and Comprehensive Income of approximately $640,000. For further discussion of the risks related to our auction rate securities, see Note 6 – Financial Instruments and Fair Value of the Notes to Consolidated Financial Statements.</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40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2017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40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September 30, 2017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2016 Annual Report on Form 10-K (the “2016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2016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third quarter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third quarter of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Price Paid</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Per Share</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 Plans</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w:t>
            </w:r>
          </w:p>
        </w:tc>
        <w:tc>
          <w:tcPr>
            <w:tcW w:w="340" w:type="dxa"/>
            <w:vAlign w:val="bottom"/>
          </w:tcPr>
          <w:p>
            <w:pPr>
              <w:spacing w:after="0"/>
              <w:rPr>
                <w:sz w:val="20"/>
                <w:szCs w:val="20"/>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or Programs (2)</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2017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35.91</w:t>
            </w:r>
            <w:r>
              <w:rPr>
                <w:rFonts w:ascii="Arial" w:cs="Arial" w:eastAsia="Arial" w:hAnsi="Arial"/>
                <w:sz w:val="18"/>
                <w:szCs w:val="18"/>
                <w:b w:val="1"/>
                <w:bCs w:val="1"/>
                <w:color w:val="auto"/>
              </w:rPr>
              <w:t>(4)</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August 1 – August 31, 2017</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37.32</w:t>
            </w:r>
            <w:r>
              <w:rPr>
                <w:rFonts w:ascii="Arial" w:cs="Arial" w:eastAsia="Arial" w:hAnsi="Arial"/>
                <w:sz w:val="18"/>
                <w:szCs w:val="18"/>
                <w:b w:val="1"/>
                <w:bCs w:val="1"/>
                <w:color w:val="auto"/>
              </w:rPr>
              <w:t>(5)</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9,806,398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38.18</w:t>
            </w:r>
            <w:r>
              <w:rPr>
                <w:rFonts w:ascii="Arial" w:cs="Arial" w:eastAsia="Arial" w:hAnsi="Arial"/>
                <w:sz w:val="18"/>
                <w:szCs w:val="18"/>
                <w:b w:val="1"/>
                <w:bCs w:val="1"/>
                <w:color w:val="auto"/>
              </w:rPr>
              <w:t>(6)</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9,132,996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31,232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31,232</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9,132,996</w:t>
            </w:r>
          </w:p>
        </w:tc>
        <w:tc>
          <w:tcPr>
            <w:tcW w:w="0" w:type="dxa"/>
            <w:vAlign w:val="bottom"/>
          </w:tcPr>
          <w:p>
            <w:pPr>
              <w:spacing w:after="0"/>
              <w:rPr>
                <w:sz w:val="1"/>
                <w:szCs w:val="1"/>
                <w:color w:val="auto"/>
              </w:rPr>
            </w:pPr>
          </w:p>
        </w:tc>
      </w:tr>
      <w:tr>
        <w:trPr>
          <w:trHeight w:val="210"/>
        </w:trPr>
        <w:tc>
          <w:tcPr>
            <w:tcW w:w="4240" w:type="dxa"/>
            <w:vAlign w:val="bottom"/>
            <w:gridSpan w:val="2"/>
          </w:tcPr>
          <w:p>
            <w:pPr>
              <w:jc w:val="right"/>
              <w:ind w:right="2830"/>
              <w:spacing w:after="0"/>
              <w:rPr>
                <w:sz w:val="20"/>
                <w:szCs w:val="20"/>
                <w:color w:val="auto"/>
              </w:rPr>
            </w:pPr>
            <w:r>
              <w:rPr>
                <w:rFonts w:ascii="Arial" w:cs="Arial" w:eastAsia="Arial" w:hAnsi="Arial"/>
                <w:sz w:val="18"/>
                <w:szCs w:val="18"/>
                <w:color w:val="auto"/>
                <w:w w:val="92"/>
              </w:rPr>
              <w:t>______________</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38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ind w:left="580" w:hanging="572"/>
        <w:spacing w:after="0" w:line="265"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repurchased shares under a stock repurchase program announced on November 30, 2016, which authorized the repurchase of up to $40.0 million of its shares of Class A Common Stock and/or Class B Common Stock and will expire on November 30, 2017.</w:t>
      </w: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1,306 shares of Class B Common Stock at an average price paid per share of $35.91.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12,300 shares of Class B Common Stock at an average price paid per share of $37.32.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17,626 shares of Class B Common Stock at an average price paid per share of $38.18.</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4"/>
        </w:trPr>
        <w:tc>
          <w:tcPr>
            <w:tcW w:w="200" w:type="dxa"/>
            <w:vAlign w:val="bottom"/>
          </w:tcPr>
          <w:p>
            <w:pPr>
              <w:spacing w:after="0"/>
              <w:rPr>
                <w:sz w:val="16"/>
                <w:szCs w:val="16"/>
                <w:color w:val="auto"/>
              </w:rPr>
            </w:pPr>
          </w:p>
        </w:tc>
        <w:tc>
          <w:tcPr>
            <w:tcW w:w="84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4"/>
              </w:rPr>
              <w:t>Number</w:t>
            </w:r>
          </w:p>
        </w:tc>
        <w:tc>
          <w:tcPr>
            <w:tcW w:w="1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Exhibit Title</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400" w:type="dxa"/>
            <w:vAlign w:val="bottom"/>
            <w:gridSpan w:val="11"/>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9"/>
                <w:szCs w:val="19"/>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w w:val="91"/>
              </w:rPr>
              <w:t>Restated Articles of Incorporation of Rush Enterprises, Inc. (incorporated herein by reference to Exhibit 3.1 of the Company’s Quarterly Report</w:t>
            </w: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on</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040" w:type="dxa"/>
            <w:vAlign w:val="bottom"/>
          </w:tcPr>
          <w:p>
            <w:pPr>
              <w:ind w:left="480"/>
              <w:spacing w:after="0"/>
              <w:rPr>
                <w:sz w:val="20"/>
                <w:szCs w:val="20"/>
                <w:color w:val="auto"/>
              </w:rPr>
            </w:pPr>
            <w:r>
              <w:rPr>
                <w:rFonts w:ascii="Arial" w:cs="Arial" w:eastAsia="Arial" w:hAnsi="Arial"/>
                <w:sz w:val="18"/>
                <w:szCs w:val="18"/>
                <w:color w:val="auto"/>
              </w:rPr>
              <w:t>10-Q</w:t>
            </w:r>
          </w:p>
        </w:tc>
        <w:tc>
          <w:tcPr>
            <w:tcW w:w="980" w:type="dxa"/>
            <w:vAlign w:val="bottom"/>
          </w:tcPr>
          <w:p>
            <w:pPr>
              <w:ind w:left="360"/>
              <w:spacing w:after="0"/>
              <w:rPr>
                <w:sz w:val="20"/>
                <w:szCs w:val="20"/>
                <w:color w:val="auto"/>
              </w:rPr>
            </w:pPr>
            <w:r>
              <w:rPr>
                <w:rFonts w:ascii="Arial" w:cs="Arial" w:eastAsia="Arial" w:hAnsi="Arial"/>
                <w:sz w:val="18"/>
                <w:szCs w:val="18"/>
                <w:color w:val="auto"/>
              </w:rPr>
              <w:t>(File</w:t>
            </w:r>
          </w:p>
        </w:tc>
        <w:tc>
          <w:tcPr>
            <w:tcW w:w="960" w:type="dxa"/>
            <w:vAlign w:val="bottom"/>
          </w:tcPr>
          <w:p>
            <w:pPr>
              <w:ind w:left="280"/>
              <w:spacing w:after="0"/>
              <w:rPr>
                <w:sz w:val="20"/>
                <w:szCs w:val="20"/>
                <w:color w:val="auto"/>
              </w:rPr>
            </w:pPr>
            <w:r>
              <w:rPr>
                <w:rFonts w:ascii="Arial" w:cs="Arial" w:eastAsia="Arial" w:hAnsi="Arial"/>
                <w:sz w:val="18"/>
                <w:szCs w:val="18"/>
                <w:color w:val="auto"/>
              </w:rPr>
              <w:t>No.</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000-20797)</w:t>
            </w:r>
          </w:p>
        </w:tc>
        <w:tc>
          <w:tcPr>
            <w:tcW w:w="540" w:type="dxa"/>
            <w:vAlign w:val="bottom"/>
          </w:tcPr>
          <w:p>
            <w:pPr>
              <w:ind w:left="60"/>
              <w:spacing w:after="0"/>
              <w:rPr>
                <w:sz w:val="20"/>
                <w:szCs w:val="20"/>
                <w:color w:val="auto"/>
              </w:rPr>
            </w:pPr>
            <w:r>
              <w:rPr>
                <w:rFonts w:ascii="Arial" w:cs="Arial" w:eastAsia="Arial" w:hAnsi="Arial"/>
                <w:sz w:val="18"/>
                <w:szCs w:val="18"/>
                <w:color w:val="auto"/>
              </w:rPr>
              <w:t>for</w:t>
            </w:r>
          </w:p>
        </w:tc>
        <w:tc>
          <w:tcPr>
            <w:tcW w:w="840" w:type="dxa"/>
            <w:vAlign w:val="bottom"/>
          </w:tcPr>
          <w:p>
            <w:pPr>
              <w:ind w:left="280"/>
              <w:spacing w:after="0"/>
              <w:rPr>
                <w:sz w:val="20"/>
                <w:szCs w:val="20"/>
                <w:color w:val="auto"/>
              </w:rPr>
            </w:pPr>
            <w:r>
              <w:rPr>
                <w:rFonts w:ascii="Arial" w:cs="Arial" w:eastAsia="Arial" w:hAnsi="Arial"/>
                <w:sz w:val="18"/>
                <w:szCs w:val="18"/>
                <w:color w:val="auto"/>
              </w:rPr>
              <w:t>the</w:t>
            </w:r>
          </w:p>
        </w:tc>
        <w:tc>
          <w:tcPr>
            <w:tcW w:w="1120" w:type="dxa"/>
            <w:vAlign w:val="bottom"/>
          </w:tcPr>
          <w:p>
            <w:pPr>
              <w:ind w:left="200"/>
              <w:spacing w:after="0"/>
              <w:rPr>
                <w:sz w:val="20"/>
                <w:szCs w:val="20"/>
                <w:color w:val="auto"/>
              </w:rPr>
            </w:pPr>
            <w:r>
              <w:rPr>
                <w:rFonts w:ascii="Arial" w:cs="Arial" w:eastAsia="Arial" w:hAnsi="Arial"/>
                <w:sz w:val="18"/>
                <w:szCs w:val="18"/>
                <w:color w:val="auto"/>
              </w:rPr>
              <w:t>quarter</w:t>
            </w: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ended</w:t>
            </w:r>
          </w:p>
        </w:tc>
        <w:tc>
          <w:tcPr>
            <w:tcW w:w="520" w:type="dxa"/>
            <w:vAlign w:val="bottom"/>
          </w:tcPr>
          <w:p>
            <w:pPr>
              <w:ind w:left="20"/>
              <w:spacing w:after="0"/>
              <w:rPr>
                <w:sz w:val="20"/>
                <w:szCs w:val="20"/>
                <w:color w:val="auto"/>
              </w:rPr>
            </w:pPr>
            <w:r>
              <w:rPr>
                <w:rFonts w:ascii="Arial" w:cs="Arial" w:eastAsia="Arial" w:hAnsi="Arial"/>
                <w:sz w:val="18"/>
                <w:szCs w:val="18"/>
                <w:color w:val="auto"/>
              </w:rPr>
              <w:t>June</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10"/>
          </w:tcPr>
          <w:p>
            <w:pPr>
              <w:spacing w:after="0"/>
              <w:rPr>
                <w:sz w:val="20"/>
                <w:szCs w:val="20"/>
                <w:color w:val="auto"/>
              </w:rPr>
            </w:pPr>
            <w:r>
              <w:rPr>
                <w:rFonts w:ascii="Arial" w:cs="Arial" w:eastAsia="Arial" w:hAnsi="Arial"/>
                <w:sz w:val="18"/>
                <w:szCs w:val="18"/>
                <w:color w:val="auto"/>
                <w:w w:val="97"/>
              </w:rPr>
              <w:t>2008) https://www.sec.gov/Archives/edgar/data/1012019/000110465908051789/a08-18770_1ex3d1.htm</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18"/>
                <w:szCs w:val="18"/>
                <w:color w:val="auto"/>
              </w:rPr>
            </w:pPr>
          </w:p>
        </w:tc>
        <w:tc>
          <w:tcPr>
            <w:tcW w:w="10380" w:type="dxa"/>
            <w:vAlign w:val="bottom"/>
            <w:gridSpan w:val="13"/>
          </w:tcPr>
          <w:p>
            <w:pPr>
              <w:spacing w:after="0"/>
              <w:rPr>
                <w:sz w:val="20"/>
                <w:szCs w:val="20"/>
                <w:color w:val="auto"/>
              </w:rPr>
            </w:pPr>
            <w:r>
              <w:rPr>
                <w:rFonts w:ascii="Arial" w:cs="Arial" w:eastAsia="Arial" w:hAnsi="Arial"/>
                <w:sz w:val="18"/>
                <w:szCs w:val="18"/>
                <w:color w:val="auto"/>
                <w:w w:val="93"/>
              </w:rPr>
              <w:t>Rush Enterprises, Inc. Amended and Restated Bylaws (incorporated herein by reference to Exhibit 3.1 of the Company’s Current Report on</w:t>
            </w: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Form</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rPr>
              <w:t>8-K</w:t>
            </w:r>
          </w:p>
        </w:tc>
        <w:tc>
          <w:tcPr>
            <w:tcW w:w="980" w:type="dxa"/>
            <w:vAlign w:val="bottom"/>
          </w:tcPr>
          <w:p>
            <w:pPr>
              <w:ind w:left="180"/>
              <w:spacing w:after="0"/>
              <w:rPr>
                <w:sz w:val="20"/>
                <w:szCs w:val="20"/>
                <w:color w:val="auto"/>
              </w:rPr>
            </w:pPr>
            <w:r>
              <w:rPr>
                <w:rFonts w:ascii="Arial" w:cs="Arial" w:eastAsia="Arial" w:hAnsi="Arial"/>
                <w:sz w:val="18"/>
                <w:szCs w:val="18"/>
                <w:color w:val="auto"/>
              </w:rPr>
              <w:t>(File</w:t>
            </w:r>
          </w:p>
        </w:tc>
        <w:tc>
          <w:tcPr>
            <w:tcW w:w="960" w:type="dxa"/>
            <w:vAlign w:val="bottom"/>
          </w:tcPr>
          <w:p>
            <w:pPr>
              <w:ind w:left="400"/>
              <w:spacing w:after="0"/>
              <w:rPr>
                <w:sz w:val="20"/>
                <w:szCs w:val="20"/>
                <w:color w:val="auto"/>
              </w:rPr>
            </w:pPr>
            <w:r>
              <w:rPr>
                <w:rFonts w:ascii="Arial" w:cs="Arial" w:eastAsia="Arial" w:hAnsi="Arial"/>
                <w:sz w:val="18"/>
                <w:szCs w:val="18"/>
                <w:color w:val="auto"/>
              </w:rPr>
              <w:t>No.</w:t>
            </w:r>
          </w:p>
        </w:tc>
        <w:tc>
          <w:tcPr>
            <w:tcW w:w="1460" w:type="dxa"/>
            <w:vAlign w:val="bottom"/>
          </w:tcPr>
          <w:p>
            <w:pPr>
              <w:jc w:val="right"/>
              <w:spacing w:after="0"/>
              <w:rPr>
                <w:sz w:val="20"/>
                <w:szCs w:val="20"/>
                <w:color w:val="auto"/>
              </w:rPr>
            </w:pPr>
            <w:r>
              <w:rPr>
                <w:rFonts w:ascii="Arial" w:cs="Arial" w:eastAsia="Arial" w:hAnsi="Arial"/>
                <w:sz w:val="18"/>
                <w:szCs w:val="18"/>
                <w:color w:val="auto"/>
              </w:rPr>
              <w:t>000-20797)</w:t>
            </w:r>
          </w:p>
        </w:tc>
        <w:tc>
          <w:tcPr>
            <w:tcW w:w="54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filed</w:t>
            </w:r>
          </w:p>
        </w:tc>
        <w:tc>
          <w:tcPr>
            <w:tcW w:w="1120" w:type="dxa"/>
            <w:vAlign w:val="bottom"/>
          </w:tcPr>
          <w:p>
            <w:pPr>
              <w:ind w:left="640"/>
              <w:spacing w:after="0"/>
              <w:rPr>
                <w:sz w:val="20"/>
                <w:szCs w:val="20"/>
                <w:color w:val="auto"/>
              </w:rPr>
            </w:pPr>
            <w:r>
              <w:rPr>
                <w:rFonts w:ascii="Arial" w:cs="Arial" w:eastAsia="Arial" w:hAnsi="Arial"/>
                <w:sz w:val="18"/>
                <w:szCs w:val="18"/>
                <w:color w:val="auto"/>
              </w:rPr>
              <w:t>May</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16"/>
        </w:trPr>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gridSpan w:val="10"/>
          </w:tcPr>
          <w:p>
            <w:pPr>
              <w:spacing w:after="0"/>
              <w:rPr>
                <w:sz w:val="20"/>
                <w:szCs w:val="20"/>
                <w:color w:val="auto"/>
              </w:rPr>
            </w:pPr>
            <w:r>
              <w:rPr>
                <w:rFonts w:ascii="Arial" w:cs="Arial" w:eastAsia="Arial" w:hAnsi="Arial"/>
                <w:sz w:val="18"/>
                <w:szCs w:val="18"/>
                <w:color w:val="auto"/>
                <w:w w:val="98"/>
              </w:rPr>
              <w:t>https://www.sec.gov/Archives/edgar/data/1012019/000143774913006455/rusha20130517_8kex3-1.htm</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31.1*</w:t>
            </w:r>
          </w:p>
        </w:tc>
        <w:tc>
          <w:tcPr>
            <w:tcW w:w="200" w:type="dxa"/>
            <w:vAlign w:val="bottom"/>
          </w:tcPr>
          <w:p>
            <w:pPr>
              <w:spacing w:after="0"/>
              <w:rPr>
                <w:sz w:val="18"/>
                <w:szCs w:val="18"/>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w w:val="92"/>
              </w:rPr>
              <w:t>Certification of CEO pursuant to Rules 13a-14(a) and 15d-14(a) adopted pursuant to Section 302 of the Sarbanes-Oxley Act of 2002.</w:t>
            </w:r>
          </w:p>
        </w:tc>
        <w:tc>
          <w:tcPr>
            <w:tcW w:w="600" w:type="dxa"/>
            <w:vAlign w:val="bottom"/>
          </w:tcPr>
          <w:p>
            <w:pPr>
              <w:spacing w:after="0"/>
              <w:rPr>
                <w:sz w:val="18"/>
                <w:szCs w:val="18"/>
                <w:color w:val="auto"/>
              </w:rPr>
            </w:pPr>
          </w:p>
        </w:tc>
      </w:tr>
      <w:tr>
        <w:trPr>
          <w:trHeight w:val="216"/>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31.2*</w:t>
            </w:r>
          </w:p>
        </w:tc>
        <w:tc>
          <w:tcPr>
            <w:tcW w:w="200" w:type="dxa"/>
            <w:vAlign w:val="bottom"/>
          </w:tcPr>
          <w:p>
            <w:pPr>
              <w:spacing w:after="0"/>
              <w:rPr>
                <w:sz w:val="18"/>
                <w:szCs w:val="18"/>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w w:val="92"/>
              </w:rPr>
              <w:t>Certification of CFO pursuant to Rules 13a-14(a) and 15d-14(a) adopted pursuant to Section 302 of the Sarbanes-Oxley Act of 2002.</w:t>
            </w:r>
          </w:p>
        </w:tc>
        <w:tc>
          <w:tcPr>
            <w:tcW w:w="600" w:type="dxa"/>
            <w:vAlign w:val="bottom"/>
          </w:tcPr>
          <w:p>
            <w:pPr>
              <w:spacing w:after="0"/>
              <w:rPr>
                <w:sz w:val="18"/>
                <w:szCs w:val="18"/>
                <w:color w:val="auto"/>
              </w:rPr>
            </w:pPr>
          </w:p>
        </w:tc>
      </w:tr>
      <w:tr>
        <w:trPr>
          <w:trHeight w:val="216"/>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9780" w:type="dxa"/>
            <w:vAlign w:val="bottom"/>
            <w:gridSpan w:val="12"/>
          </w:tcPr>
          <w:p>
            <w:pPr>
              <w:spacing w:after="0"/>
              <w:rPr>
                <w:sz w:val="20"/>
                <w:szCs w:val="20"/>
                <w:color w:val="auto"/>
              </w:rPr>
            </w:pPr>
            <w:r>
              <w:rPr>
                <w:rFonts w:ascii="Arial" w:cs="Arial" w:eastAsia="Arial" w:hAnsi="Arial"/>
                <w:sz w:val="18"/>
                <w:szCs w:val="18"/>
                <w:color w:val="auto"/>
                <w:w w:val="95"/>
              </w:rPr>
              <w:t>Certification of CEO pursuant to 18 U.S.C. Section 1350 as adopted pursuant to Section 906 of the Sarbanes-Oxley Act of 2002.</w:t>
            </w:r>
          </w:p>
        </w:tc>
        <w:tc>
          <w:tcPr>
            <w:tcW w:w="600" w:type="dxa"/>
            <w:vAlign w:val="bottom"/>
          </w:tcPr>
          <w:p>
            <w:pPr>
              <w:spacing w:after="0"/>
              <w:rPr>
                <w:sz w:val="18"/>
                <w:szCs w:val="18"/>
                <w:color w:val="auto"/>
              </w:rPr>
            </w:pPr>
          </w:p>
        </w:tc>
      </w:tr>
      <w:tr>
        <w:trPr>
          <w:trHeight w:val="216"/>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 Act of 2002.</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2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1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6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6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180" w:type="dxa"/>
            <w:vAlign w:val="bottom"/>
            <w:gridSpan w:val="6"/>
          </w:tcPr>
          <w:p>
            <w:pPr>
              <w:spacing w:after="0"/>
              <w:rPr>
                <w:sz w:val="20"/>
                <w:szCs w:val="20"/>
                <w:color w:val="auto"/>
              </w:rPr>
            </w:pPr>
            <w:r>
              <w:rPr>
                <w:rFonts w:ascii="Arial" w:cs="Arial" w:eastAsia="Arial" w:hAnsi="Arial"/>
                <w:sz w:val="18"/>
                <w:szCs w:val="18"/>
                <w:color w:val="auto"/>
                <w:w w:val="94"/>
              </w:rPr>
              <w:t>XBRL Taxonomy Extension Label Linkbase Document.</w:t>
            </w: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6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48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RUSH ENTERPRISES, INC.</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80"/>
              <w:spacing w:after="0"/>
              <w:rPr>
                <w:sz w:val="20"/>
                <w:szCs w:val="20"/>
                <w:color w:val="auto"/>
              </w:rPr>
            </w:pPr>
            <w:r>
              <w:rPr>
                <w:rFonts w:ascii="Arial" w:cs="Arial" w:eastAsia="Arial" w:hAnsi="Arial"/>
                <w:sz w:val="18"/>
                <w:szCs w:val="18"/>
                <w:color w:val="auto"/>
              </w:rPr>
              <w:t>November 9, 2017</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 W.M. “RUSTY” RUSH</w:t>
            </w:r>
          </w:p>
        </w:tc>
        <w:tc>
          <w:tcPr>
            <w:tcW w:w="31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W.M. “Rusty” Rush</w:t>
            </w:r>
          </w:p>
        </w:tc>
      </w:tr>
      <w:tr>
        <w:trPr>
          <w:trHeight w:val="216"/>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80"/>
              <w:spacing w:after="0"/>
              <w:rPr>
                <w:sz w:val="20"/>
                <w:szCs w:val="20"/>
                <w:color w:val="auto"/>
              </w:rPr>
            </w:pPr>
            <w:r>
              <w:rPr>
                <w:rFonts w:ascii="Arial" w:cs="Arial" w:eastAsia="Arial" w:hAnsi="Arial"/>
                <w:sz w:val="18"/>
                <w:szCs w:val="18"/>
                <w:color w:val="auto"/>
              </w:rPr>
              <w:t>November 9, 2017</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 STEVEN L. KELLER</w:t>
            </w:r>
          </w:p>
        </w:tc>
        <w:tc>
          <w:tcPr>
            <w:tcW w:w="3260" w:type="dxa"/>
            <w:vAlign w:val="bottom"/>
            <w:gridSpan w:val="2"/>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Steven L. Keller</w:t>
            </w:r>
          </w:p>
        </w:tc>
      </w:tr>
      <w:tr>
        <w:trPr>
          <w:trHeight w:val="216"/>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2"/>
        </w:trPr>
        <w:tc>
          <w:tcPr>
            <w:tcW w:w="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00" w:type="dxa"/>
            <w:vAlign w:val="bottom"/>
          </w:tcPr>
          <w:p>
            <w:pPr>
              <w:jc w:val="right"/>
              <w:ind w:right="390"/>
              <w:spacing w:after="0"/>
              <w:rPr>
                <w:sz w:val="20"/>
                <w:szCs w:val="20"/>
                <w:color w:val="auto"/>
              </w:rPr>
            </w:pPr>
            <w:r>
              <w:rPr>
                <w:rFonts w:ascii="Arial" w:cs="Arial" w:eastAsia="Arial" w:hAnsi="Arial"/>
                <w:sz w:val="18"/>
                <w:szCs w:val="18"/>
                <w:color w:val="auto"/>
              </w:rPr>
              <w:t>28</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00" w:type="dxa"/>
            <w:vAlign w:val="bottom"/>
            <w:gridSpan w:val="8"/>
          </w:tcPr>
          <w:p>
            <w:pPr>
              <w:ind w:left="3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gridSpan w:val="10"/>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6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w w:val="94"/>
              </w:rPr>
              <w:t>Number</w:t>
            </w:r>
          </w:p>
        </w:tc>
        <w:tc>
          <w:tcPr>
            <w:tcW w:w="5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Title</w:t>
            </w:r>
          </w:p>
        </w:tc>
        <w:tc>
          <w:tcPr>
            <w:tcW w:w="9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 w:type="dxa"/>
            <w:vAlign w:val="bottom"/>
            <w:vMerge w:val="restart"/>
          </w:tcPr>
          <w:p>
            <w:pPr>
              <w:spacing w:after="0"/>
              <w:rPr>
                <w:sz w:val="20"/>
                <w:szCs w:val="20"/>
                <w:color w:val="auto"/>
              </w:rPr>
            </w:pP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vMerge w:val="restart"/>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260" w:type="dxa"/>
            <w:vAlign w:val="bottom"/>
            <w:gridSpan w:val="10"/>
          </w:tcPr>
          <w:p>
            <w:pPr>
              <w:spacing w:after="0" w:line="170" w:lineRule="exact"/>
              <w:rPr>
                <w:rFonts w:ascii="Arial" w:cs="Arial" w:eastAsia="Arial" w:hAnsi="Arial"/>
                <w:sz w:val="18"/>
                <w:szCs w:val="18"/>
                <w:color w:val="0000EE"/>
                <w:w w:val="95"/>
              </w:rPr>
            </w:pPr>
            <w:hyperlink r:id="rId31">
              <w:r>
                <w:rPr>
                  <w:rFonts w:ascii="Arial" w:cs="Arial" w:eastAsia="Arial" w:hAnsi="Arial"/>
                  <w:sz w:val="18"/>
                  <w:szCs w:val="18"/>
                  <w:color w:val="0000EE"/>
                  <w:w w:val="95"/>
                </w:rPr>
                <w:t>Restated Articles of Incorporation of Rush Enterprises, Inc. (incorporated herein by reference to Exhibit 3.1 of the Company’s Quarterly</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Report on Form 10-Q (File No. 000-20797) for the quarter ended June 30, 2008)</w:t>
              </w:r>
            </w:hyperlink>
          </w:p>
        </w:tc>
        <w:tc>
          <w:tcPr>
            <w:tcW w:w="44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10260" w:type="dxa"/>
            <w:vAlign w:val="bottom"/>
            <w:tcBorders>
              <w:bottom w:val="single" w:sz="8" w:color="0000EE"/>
            </w:tcBorders>
            <w:gridSpan w:val="10"/>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Rush Enterprises, Inc. Amended and Restated Bylaws (incorporated herein by reference to Exhibit 3.1 of the Company’s Current Report on</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Form 8-K (File No. 000-20797) filed May 21, 2013)</w:t>
              </w:r>
            </w:hyperlink>
          </w:p>
        </w:tc>
        <w:tc>
          <w:tcPr>
            <w:tcW w:w="6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31.1*</w:t>
            </w:r>
          </w:p>
        </w:tc>
        <w:tc>
          <w:tcPr>
            <w:tcW w:w="320" w:type="dxa"/>
            <w:vAlign w:val="bottom"/>
          </w:tcPr>
          <w:p>
            <w:pPr>
              <w:spacing w:after="0"/>
              <w:rPr>
                <w:sz w:val="24"/>
                <w:szCs w:val="24"/>
                <w:color w:val="auto"/>
              </w:rPr>
            </w:pPr>
          </w:p>
        </w:tc>
        <w:tc>
          <w:tcPr>
            <w:tcW w:w="96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31.2*</w:t>
            </w:r>
          </w:p>
        </w:tc>
        <w:tc>
          <w:tcPr>
            <w:tcW w:w="320" w:type="dxa"/>
            <w:vAlign w:val="bottom"/>
          </w:tcPr>
          <w:p>
            <w:pPr>
              <w:spacing w:after="0"/>
              <w:rPr>
                <w:sz w:val="24"/>
                <w:szCs w:val="24"/>
                <w:color w:val="auto"/>
              </w:rPr>
            </w:pPr>
          </w:p>
        </w:tc>
        <w:tc>
          <w:tcPr>
            <w:tcW w:w="9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CFO pursuant to Rules 13a-14(a) and 15d-14(a) adopted pursuant to Section 302 of the Sarbanes-Oxley Act of 2002.</w:t>
              </w:r>
            </w:hyperlink>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9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gridSpan w:val="2"/>
          </w:tcPr>
          <w:p>
            <w:pPr>
              <w:jc w:val="center"/>
              <w:ind w:left="13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2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CFO pursuant to 18 U.S.C. Section 1350 as adopted pursuant to Section 906 of the Sarbanes-Oxley Act of 2002.</w:t>
              </w:r>
            </w:hyperlink>
          </w:p>
        </w:tc>
        <w:tc>
          <w:tcPr>
            <w:tcW w:w="1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right="540" w:hanging="572"/>
        <w:spacing w:after="0" w:line="255"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ectPr>
          <w:pgSz w:w="11900" w:h="16838" w:orient="portrait"/>
          <w:cols w:equalWidth="0" w:num="1">
            <w:col w:w="11420"/>
          </w:cols>
          <w:pgMar w:left="240" w:top="11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9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17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1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20"/>
                <w:szCs w:val="20"/>
                <w:color w:val="auto"/>
              </w:rPr>
            </w:pPr>
            <w:r>
              <w:rPr>
                <w:rFonts w:ascii="Arial" w:cs="Arial" w:eastAsia="Arial" w:hAnsi="Arial"/>
                <w:sz w:val="18"/>
                <w:szCs w:val="18"/>
                <w:color w:val="auto"/>
              </w:rPr>
              <w:t>Date: November 9, 2017</w:t>
            </w:r>
          </w:p>
        </w:tc>
        <w:tc>
          <w:tcPr>
            <w:tcW w:w="5660" w:type="dxa"/>
            <w:vAlign w:val="bottom"/>
            <w:gridSpan w:val="3"/>
          </w:tcPr>
          <w:p>
            <w:pPr>
              <w:ind w:left="2520"/>
              <w:spacing w:after="0"/>
              <w:rPr>
                <w:sz w:val="20"/>
                <w:szCs w:val="20"/>
                <w:color w:val="auto"/>
              </w:rPr>
            </w:pPr>
            <w:r>
              <w:rPr>
                <w:rFonts w:ascii="Arial" w:cs="Arial" w:eastAsia="Arial" w:hAnsi="Arial"/>
                <w:sz w:val="18"/>
                <w:szCs w:val="18"/>
                <w:color w:val="auto"/>
              </w:rPr>
              <w:t>By: /S/ W.M. “RUSTY” RUSH</w:t>
            </w:r>
          </w:p>
        </w:tc>
      </w:tr>
      <w:tr>
        <w:trPr>
          <w:trHeight w:val="222"/>
        </w:trPr>
        <w:tc>
          <w:tcPr>
            <w:tcW w:w="4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20" w:type="dxa"/>
            <w:vAlign w:val="bottom"/>
          </w:tcPr>
          <w:p>
            <w:pPr>
              <w:spacing w:after="0"/>
              <w:rPr>
                <w:sz w:val="19"/>
                <w:szCs w:val="19"/>
                <w:color w:val="auto"/>
              </w:rPr>
            </w:pPr>
          </w:p>
        </w:tc>
      </w:tr>
      <w:tr>
        <w:trPr>
          <w:trHeight w:val="216"/>
        </w:trPr>
        <w:tc>
          <w:tcPr>
            <w:tcW w:w="4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4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4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240" w:top="125" w:right="6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20" w:firstLine="656"/>
        <w:spacing w:after="0" w:line="264" w:lineRule="auto"/>
        <w:tabs>
          <w:tab w:leader="none" w:pos="11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1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20"/>
                <w:szCs w:val="20"/>
                <w:color w:val="auto"/>
              </w:rPr>
            </w:pPr>
            <w:r>
              <w:rPr>
                <w:rFonts w:ascii="Arial" w:cs="Arial" w:eastAsia="Arial" w:hAnsi="Arial"/>
                <w:sz w:val="18"/>
                <w:szCs w:val="18"/>
                <w:color w:val="auto"/>
              </w:rPr>
              <w:t>Date:  November 9, 2017</w:t>
            </w:r>
          </w:p>
        </w:tc>
        <w:tc>
          <w:tcPr>
            <w:tcW w:w="6040" w:type="dxa"/>
            <w:vAlign w:val="bottom"/>
            <w:gridSpan w:val="3"/>
          </w:tcPr>
          <w:p>
            <w:pPr>
              <w:ind w:left="2460"/>
              <w:spacing w:after="0"/>
              <w:rPr>
                <w:sz w:val="20"/>
                <w:szCs w:val="20"/>
                <w:color w:val="auto"/>
              </w:rPr>
            </w:pPr>
            <w:r>
              <w:rPr>
                <w:rFonts w:ascii="Arial" w:cs="Arial" w:eastAsia="Arial" w:hAnsi="Arial"/>
                <w:sz w:val="18"/>
                <w:szCs w:val="18"/>
                <w:color w:val="auto"/>
              </w:rPr>
              <w:t>By: /S/ STEVEN L. KELLER</w:t>
            </w:r>
          </w:p>
        </w:tc>
      </w:tr>
      <w:tr>
        <w:trPr>
          <w:trHeight w:val="222"/>
        </w:trPr>
        <w:tc>
          <w:tcPr>
            <w:tcW w:w="4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4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040"/>
          </w:cols>
          <w:pgMar w:left="240" w:top="125"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2017,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Chairman,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W.M. “Rusty” Rush</w:t>
      </w:r>
    </w:p>
    <w:p>
      <w:pPr>
        <w:spacing w:after="0" w:line="9"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tab/>
        <w:t>President, Chief Executive Officer and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2017</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2017,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tab/>
        <w:t>Chief Financial Officer and Treasurer</w:t>
      </w:r>
    </w:p>
    <w:p>
      <w:pPr>
        <w:spacing w:after="0" w:line="9"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2017</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endash "/>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hyperlink" Target="http://www.sec.gov/Archives/edgar/data/1012019/000110465908051789/a08-18770_1ex3d1.htm" TargetMode="External"/><Relationship Id="rId32" Type="http://schemas.openxmlformats.org/officeDocument/2006/relationships/hyperlink" Target="http://www.sec.gov/Archives/edgar/data/1012019/000143774913006455/rusha20130517_8k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2019-12-29T03:14:10Z</dcterms:created>
  <dcterms:modified xsi:type="dcterms:W3CDTF">2019-12-29T03:14:10Z</dcterms:modified>
</cp:coreProperties>
</file>